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WASH Water Access MEL Plan</w:t>
      </w:r>
    </w:p>
    <w:p>
      <w:pPr>
        <w:jc w:val="left"/>
      </w:pPr>
      <w:r>
        <w:rPr>
          <w:rFonts w:ascii="Calibri" w:hAnsi="Calibri" w:cs="Calibri" w:eastAsia="Calibri"/>
          <w:i/>
          <w:color w:val="0B2748"/>
          <w:sz w:val="26"/>
        </w:rPr>
        <w:t>WASH MEL Plan Kit | Version 2.0 | October 2026</w:t>
      </w:r>
    </w:p>
    <w:p>
      <w:pPr>
        <w:pBdr>
          <w:bottom w:val="single" w:sz="8" w:space="1" w:color="229FB5"/>
        </w:pBdr>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9360"/>
      </w:tblGrid>
      <w:tr>
        <w:trPr>
          <w:cantSplit/>
          <w:tblHeader/>
        </w:trPr>
        <w:tc>
          <w:tcPr>
            <w:tcW w:type="dxa" w:w="9360"/>
            <w:shd w:val="clear" w:color="auto" w:fill="0B2748"/>
            <w:vAlign w:val="center"/>
          </w:tcPr>
          <w:p>
            <w:pPr>
              <w:spacing w:before="0" w:after="0" w:line="240" w:lineRule="auto"/>
              <w:jc w:val="center"/>
            </w:pPr>
            <w:r>
              <w:rPr>
                <w:rFonts w:ascii="Calibri" w:hAnsi="Calibri" w:cs="Calibri" w:eastAsia="Calibri"/>
                <w:b/>
                <w:color w:val="FFFFFF"/>
                <w:sz w:val="24"/>
              </w:rPr>
              <w:t>How to Use This Document</w:t>
            </w:r>
          </w:p>
        </w:tc>
      </w:tr>
      <w:tr>
        <w:trPr>
          <w:cantSplit/>
        </w:trPr>
        <w:tc>
          <w:tcPr>
            <w:tcW w:type="dxa" w:w="9360"/>
            <w:shd w:val="clear" w:color="auto" w:fill="FFFFFF"/>
            <w:vAlign w:val="top"/>
          </w:tcPr>
          <w:p>
            <w:pPr>
              <w:spacing w:before="0" w:after="0" w:line="240" w:lineRule="auto"/>
              <w:jc w:val="both"/>
            </w:pPr>
            <w:r>
              <w:rPr>
                <w:rFonts w:ascii="Calibri" w:hAnsi="Calibri" w:cs="Calibri" w:eastAsia="Calibri"/>
                <w:sz w:val="20"/>
              </w:rPr>
              <w:t xml:space="preserve">This MEL Plan Kit provides a ready-to-customize monitoring, evaluation, and learning framework for WASH programming. It covers 3 activity chains: New Water Point Construction, Water Point Rehabilitation, Household Water Treatment Promotion. Adapt the indicators, data collection methods, and timelines to your project context, donor requirements, and budget. Sections marked </w:t>
            </w:r>
            <w:r>
              <w:rPr>
                <w:rFonts w:ascii="Calibri" w:hAnsi="Calibri" w:cs="Calibri" w:eastAsia="Calibri"/>
                <w:sz w:val="20"/>
                <w:shd w:val="clear" w:color="auto" w:fill="FFF3CD"/>
              </w:rPr>
              <w:t xml:space="preserve">[CUSTOMIZE]</w:t>
            </w:r>
            <w:r>
              <w:rPr>
                <w:rFonts w:ascii="Calibri" w:hAnsi="Calibri" w:cs="Calibri" w:eastAsia="Calibri"/>
                <w:sz w:val="20"/>
              </w:rPr>
              <w:t xml:space="preserve"> require project-specific inputs. The companion documents (Indicator Tracking Table, Logic Model, and Evaluation Brief) are designed to be used alongside this plan.</w:t>
            </w:r>
          </w:p>
        </w:tc>
      </w:tr>
    </w:tbl>
    <w:p>
      <w:pPr>
        <w:spacing w:after="0"/>
      </w:pPr>
    </w:p>
    <w:p>
      <w:pPr>
        <w:pStyle w:val="Heading1"/>
      </w:pPr>
      <w:r>
        <w:t>Program Overview</w:t>
      </w:r>
    </w:p>
    <w:p>
      <w:r>
        <w:rPr>
          <w:b/>
        </w:rPr>
        <w:t>Program Goal:</w:t>
      </w:r>
      <w:r>
        <w:rPr/>
        <w:t xml:space="preserve"> </w:t>
      </w:r>
      <w:r>
        <w:rPr>
          <w:shd w:val="clear" w:color="auto" w:fill="FFF3CD"/>
        </w:rPr>
        <w:t xml:space="preserve">[CUSTOMIZE: State your program's overall goal. This WASH program addresses new water point construction, water point rehabilitation, household water treatment promotion through 3 complementary pathways.]</w:t>
      </w:r>
    </w:p>
    <w:p>
      <w:r>
        <w:rPr>
          <w:b/>
        </w:rPr>
        <w:t>Geographic Scope:</w:t>
      </w:r>
      <w:r>
        <w:rPr/>
        <w:t xml:space="preserve"> </w:t>
      </w:r>
      <w:r>
        <w:rPr>
          <w:shd w:val="clear" w:color="auto" w:fill="FFF3CD"/>
        </w:rPr>
        <w:t xml:space="preserve">[CUSTOMIZE: Country, region, district names]</w:t>
      </w:r>
    </w:p>
    <w:p>
      <w:r>
        <w:rPr>
          <w:b/>
        </w:rPr>
        <w:t>Target Population:</w:t>
      </w:r>
      <w:r>
        <w:rPr/>
        <w:t xml:space="preserve"> </w:t>
      </w:r>
      <w:r>
        <w:rPr>
          <w:shd w:val="clear" w:color="auto" w:fill="FFF3CD"/>
        </w:rPr>
        <w:t xml:space="preserve">[CUSTOMIZE: Number]</w:t>
      </w:r>
      <w:r>
        <w:rPr/>
        <w:t xml:space="preserve"> households in </w:t>
      </w:r>
      <w:r>
        <w:rPr>
          <w:shd w:val="clear" w:color="auto" w:fill="FFF3CD"/>
        </w:rPr>
        <w:t xml:space="preserve">[CUSTOMIZE: Number]</w:t>
      </w:r>
      <w:r>
        <w:rPr/>
        <w:t xml:space="preserve"> communities, with priority focus on </w:t>
      </w:r>
      <w:r>
        <w:rPr>
          <w:shd w:val="clear" w:color="auto" w:fill="FFF3CD"/>
        </w:rPr>
        <w:t xml:space="preserve">[CUSTOMIZE: key vulnerable groups relevant to your context]</w:t>
      </w:r>
      <w:r>
        <w:rPr/>
        <w:t xml:space="preserve">.</w:t>
      </w:r>
    </w:p>
    <w:p>
      <w:r>
        <w:rPr>
          <w:b/>
        </w:rPr>
        <w:t>Duration:</w:t>
      </w:r>
      <w:r>
        <w:rPr/>
        <w:t xml:space="preserve"> </w:t>
      </w:r>
      <w:r>
        <w:rPr>
          <w:shd w:val="clear" w:color="auto" w:fill="FFF3CD"/>
        </w:rPr>
        <w:t xml:space="preserve">[CUSTOMIZE: Start date]</w:t>
      </w:r>
      <w:r>
        <w:rPr/>
        <w:t xml:space="preserve"> to </w:t>
      </w:r>
      <w:r>
        <w:rPr>
          <w:shd w:val="clear" w:color="auto" w:fill="FFF3CD"/>
        </w:rPr>
        <w:t xml:space="preserve">[CUSTOMIZE: End date]</w:t>
      </w:r>
      <w:r>
        <w:rPr/>
        <w:t xml:space="preserve"> (</w:t>
      </w:r>
      <w:r>
        <w:rPr>
          <w:shd w:val="clear" w:color="auto" w:fill="FFF3CD"/>
        </w:rPr>
        <w:t xml:space="preserve">[CUSTOMIZE: Number]</w:t>
      </w:r>
      <w:r>
        <w:rPr/>
        <w:t xml:space="preserve"> months)</w:t>
      </w:r>
    </w:p>
    <w:p>
      <w:r>
        <w:rPr>
          <w:b/>
        </w:rPr>
        <w:t>Primary Donor:</w:t>
      </w:r>
      <w:r>
        <w:rPr/>
        <w:t xml:space="preserve"> </w:t>
      </w:r>
      <w:r>
        <w:rPr>
          <w:shd w:val="clear" w:color="auto" w:fill="FFF3CD"/>
        </w:rPr>
        <w:t xml:space="preserve">[CUSTOMIZE: Donor name and award number]</w:t>
      </w:r>
    </w:p>
    <w:p>
      <w:r>
        <w:rPr>
          <w:b/>
        </w:rPr>
        <w:t>Implementing Partners:</w:t>
      </w:r>
      <w:r>
        <w:rPr/>
        <w:t xml:space="preserve"> </w:t>
      </w:r>
      <w:r>
        <w:rPr>
          <w:shd w:val="clear" w:color="auto" w:fill="FFF3CD"/>
        </w:rPr>
        <w:t xml:space="preserve">[CUSTOMIZE: Lead agency and sub-partners]</w:t>
      </w:r>
    </w:p>
    <w:p>
      <w:pPr>
        <w:pStyle w:val="Heading1"/>
      </w:pPr>
      <w:r>
        <w:t>1. Theory of Change Narrative</w:t>
      </w:r>
    </w:p>
    <w:p>
      <w:r>
        <w:t>This program addresses increased use of improved drinking water sources in target communities through 3 complementary pathways.</w:t>
      </w:r>
    </w:p>
    <w:p>
      <w:r>
        <w:rPr>
          <w:b/>
        </w:rPr>
        <w:t>Chain 1: New Water Point Construction.</w:t>
      </w:r>
      <w:r>
        <w:t xml:space="preserve"> Construct new community water points (boreholes with handpumps, protected springs, or gravity-fed piped systems) in underserved communities. The expected output is functional improved water points completed, tested for water quality and yield, and handed over to community management. Target households switch from unimproved water sources to the newly constructed improved water points as their primary drinking water source, and maintain consistent use over time.</w:t>
      </w:r>
    </w:p>
    <w:p>
      <w:r>
        <w:rPr>
          <w:b/>
        </w:rPr>
        <w:t>Chain 2: Water Point Rehabilitation.</w:t>
      </w:r>
      <w:r>
        <w:t xml:space="preserve"> Rehabilitate existing non-functional or underperforming water systems. The expected output is previously non-functional or underperforming water systems restored to full operational capacity and returned to community use. Target communities resume using rehabilitated improved water sources as their primary drinking water source, reducing reliance on unimproved sources that became default during system downtime.</w:t>
      </w:r>
    </w:p>
    <w:p>
      <w:r>
        <w:rPr>
          <w:b/>
        </w:rPr>
        <w:t>Chain 3: Household Water Treatment Promotion.</w:t>
      </w:r>
      <w:r>
        <w:t xml:space="preserve"> Distribute household water treatment supplies. The expected output is target households trained on household water treatment methods and supplied with appropriate water treatment products or technologies. Target households consistently apply water treatment to drinking water, improving the quality of water consumed at household level and reducing fecal-oral disease transmission.</w:t>
      </w:r>
    </w:p>
    <w:p>
      <w:pPr>
        <w:keepNext/>
        <w:spacing w:after="80"/>
      </w:pPr>
      <w:r>
        <w:rPr>
          <w:b/>
        </w:rPr>
        <w:t>Key Assumptions Across All Chains:</w:t>
      </w:r>
    </w:p>
    <w:p>
      <w:pPr>
        <w:pStyle w:val="ListBullet"/>
      </w:pPr>
      <w:r>
        <w:t>Community was consulted on water point siting and technology selection, and has expressed demand for the improved source</w:t>
      </w:r>
    </w:p>
    <w:p>
      <w:pPr>
        <w:pStyle w:val="ListBullet"/>
      </w:pPr>
      <w:r>
        <w:t>Groundwater yield or spring discharge is sufficient for the design population throughout the year (based on hydrogeological assessment)</w:t>
      </w:r>
    </w:p>
    <w:p>
      <w:pPr>
        <w:pStyle w:val="ListBullet"/>
      </w:pPr>
      <w:r>
        <w:t>Construction quality meets national standards for borehole/spring protection (depth, sanitary seal, drainage, materials)</w:t>
      </w:r>
    </w:p>
    <w:p>
      <w:pPr>
        <w:pStyle w:val="ListBullet"/>
      </w:pPr>
      <w:r>
        <w:t>Community water management structure (water user committee) is established before or at handover to ensure operation and maintenance capacity (links to WASH-10 Water Committee Formation chain)</w:t>
      </w:r>
    </w:p>
    <w:p>
      <w:pPr>
        <w:pStyle w:val="ListBullet"/>
      </w:pPr>
      <w:r>
        <w:t>Users will switch from existing unimproved sources to the new improved source (not guaranteed, taste preferences, social access dynamics, and distance trade-offs may affect adoption)</w:t>
      </w:r>
    </w:p>
    <w:p>
      <w:pPr>
        <w:pStyle w:val="ListBullet"/>
      </w:pPr>
      <w:r>
        <w:t>The improved source will remain functional beyond the project period (requires ongoing O&amp;M, links to Outcome 2: Sustainability)</w:t>
      </w:r>
    </w:p>
    <w:p>
      <w:pPr>
        <w:pStyle w:val="ListBullet"/>
      </w:pPr>
      <w:r>
        <w:t>Root cause of system failure is fully diagnosed and addressed, not just symptomatic repair (if failure was due to lack of maintenance, rehabilitation without addressing management capacity will lead to repeat failure within 1-2 years)</w:t>
      </w:r>
    </w:p>
    <w:p>
      <w:pPr>
        <w:pStyle w:val="ListBullet"/>
      </w:pPr>
      <w:r>
        <w:t>Spare parts used are quality-compliant and sourced from suppliers with reliable supply chains (not temporary substitutes)</w:t>
      </w:r>
    </w:p>
    <w:p>
      <w:pPr>
        <w:pStyle w:val="ListBullet"/>
      </w:pPr>
      <w:r>
        <w:t>Community willingness to resume using the rehabilitated system (taste preferences or distrust may have developed during downtime)</w:t>
      </w:r>
    </w:p>
    <w:p>
      <w:pPr>
        <w:pStyle w:val="ListBullet"/>
      </w:pPr>
      <w:r>
        <w:t>Community management structure (water user committee) is reinstated or strengthened before handover (links to WASH-10)</w:t>
      </w:r>
    </w:p>
    <w:p>
      <w:pPr>
        <w:pStyle w:val="ListBullet"/>
      </w:pPr>
      <w:r>
        <w:t>Technical capacity exists locally to conduct routine maintenance on the rehabilitated system type</w:t>
      </w:r>
    </w:p>
    <w:p>
      <w:pPr>
        <w:pStyle w:val="ListBullet"/>
      </w:pPr>
      <w:r>
        <w:t>Reason for original failure was addressable, some boreholes cannot be rehabilitated (collapsed casing, irreversibly contaminated aquifer)</w:t>
      </w:r>
    </w:p>
    <w:p>
      <w:pPr>
        <w:pStyle w:val="ListBullet"/>
      </w:pPr>
      <w:r>
        <w:t>Treatment products are culturally acceptable, taste and odour of chlorinated or filtered water is accepted by target households</w:t>
      </w:r>
    </w:p>
    <w:p>
      <w:pPr>
        <w:pStyle w:val="ListBullet"/>
      </w:pPr>
      <w:r>
        <w:t>Products are affordable for continued use after initial distribution, supply chain exists for re-purchase, OR reusable technology (ceramic filter) is provided</w:t>
      </w:r>
    </w:p>
    <w:p>
      <w:pPr>
        <w:pStyle w:val="ListBullet"/>
      </w:pPr>
      <w:r>
        <w:t>Households perceive their water source as having a quality problem worth treating (motivation barrier, if community believes source water is 'clean', uptake of treatment will be low)</w:t>
      </w:r>
    </w:p>
    <w:p>
      <w:pPr>
        <w:pStyle w:val="ListBullet"/>
      </w:pPr>
      <w:r>
        <w:t>Correct use is practiced consistently (proper dosage, contact time, no re-contamination during storage), knowledge transfer from training translates to sustained practice</w:t>
      </w:r>
    </w:p>
    <w:p>
      <w:pPr>
        <w:pStyle w:val="ListBullet"/>
      </w:pPr>
      <w:r>
        <w:t>Households have appropriate containers for water storage (clean, covered, narrow-neck to prevent hand contamination)</w:t>
      </w:r>
    </w:p>
    <w:p>
      <w:pPr>
        <w:pStyle w:val="ListBullet"/>
      </w:pPr>
      <w:r>
        <w:t>Water treatment is maintained after initial supply runs out, either through project resupply, local market availability, or adoption of reusable technologies</w:t>
      </w:r>
    </w:p>
    <w:p>
      <w:r>
        <w:rPr>
          <w:b/>
        </w:rPr>
        <w:t>Cross-Sector Linkages:</w:t>
      </w:r>
      <w:r>
        <w:t xml:space="preserve"> Water point functionality requires community management capacity. Handwashing with soap (WASH-07) requires water access. Rehabilitation is often more cost-effective than new construction (WASH-01) for communities with legacy infrastructure.</w:t>
      </w:r>
    </w:p>
    <w:p>
      <w:pPr>
        <w:sectPr>
          <w:footerReference w:type="default" r:id="rId9"/>
          <w:pgSz w:w="12240" w:h="15840"/>
          <w:pgMar w:top="1440" w:right="1440" w:bottom="1440" w:left="1440" w:header="720" w:footer="720" w:gutter="0"/>
          <w:cols w:space="720"/>
          <w:docGrid w:linePitch="360"/>
        </w:sectPr>
      </w:pPr>
    </w:p>
    <w:p>
      <w:pPr>
        <w:pStyle w:val="Heading1"/>
      </w:pPr>
      <w:r>
        <w:t>2. Indicator Framework</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052"/>
        <w:gridCol w:w="2748"/>
        <w:gridCol w:w="2060"/>
        <w:gridCol w:w="1390"/>
        <w:gridCol w:w="1390"/>
        <w:gridCol w:w="2362"/>
        <w:gridCol w:w="1958"/>
      </w:tblGrid>
      <w:tr>
        <w:trPr>
          <w:cantSplit/>
          <w:tblHeader/>
        </w:trPr>
        <w:tc>
          <w:tcPr>
            <w:tcW w:type="dxa" w:w="1052"/>
            <w:shd w:val="clear" w:color="auto" w:fill="0B2748"/>
            <w:vAlign w:val="center"/>
          </w:tcPr>
          <w:p>
            <w:pPr>
              <w:spacing w:before="0" w:after="0" w:line="240" w:lineRule="auto"/>
              <w:jc w:val="center"/>
            </w:pPr>
            <w:r>
              <w:rPr>
                <w:rFonts w:ascii="Calibri" w:hAnsi="Calibri" w:cs="Calibri" w:eastAsia="Calibri"/>
                <w:b/>
                <w:color w:val="FFFFFF"/>
                <w:sz w:val="24"/>
              </w:rPr>
              <w:t>Result Level</w:t>
            </w:r>
          </w:p>
        </w:tc>
        <w:tc>
          <w:tcPr>
            <w:tcW w:type="dxa" w:w="2748"/>
            <w:shd w:val="clear" w:color="auto" w:fill="0B2748"/>
            <w:vAlign w:val="center"/>
          </w:tcPr>
          <w:p>
            <w:pPr>
              <w:spacing w:before="0" w:after="0" w:line="240" w:lineRule="auto"/>
              <w:jc w:val="center"/>
            </w:pPr>
            <w:r>
              <w:rPr>
                <w:rFonts w:ascii="Calibri" w:hAnsi="Calibri" w:cs="Calibri" w:eastAsia="Calibri"/>
                <w:b/>
                <w:color w:val="FFFFFF"/>
                <w:sz w:val="24"/>
              </w:rPr>
              <w:t>Result Statement</w:t>
            </w:r>
          </w:p>
        </w:tc>
        <w:tc>
          <w:tcPr>
            <w:tcW w:type="dxa" w:w="2060"/>
            <w:shd w:val="clear" w:color="auto" w:fill="0B2748"/>
            <w:vAlign w:val="center"/>
          </w:tcPr>
          <w:p>
            <w:pPr>
              <w:spacing w:before="0" w:after="0" w:line="240" w:lineRule="auto"/>
              <w:jc w:val="center"/>
            </w:pPr>
            <w:r>
              <w:rPr>
                <w:rFonts w:ascii="Calibri" w:hAnsi="Calibri" w:cs="Calibri" w:eastAsia="Calibri"/>
                <w:b/>
                <w:color w:val="FFFFFF"/>
                <w:sz w:val="24"/>
              </w:rPr>
              <w:t>Indicator</w:t>
            </w:r>
          </w:p>
        </w:tc>
        <w:tc>
          <w:tcPr>
            <w:tcW w:type="dxa" w:w="1390"/>
            <w:shd w:val="clear" w:color="auto" w:fill="0B2748"/>
            <w:vAlign w:val="center"/>
          </w:tcPr>
          <w:p>
            <w:pPr>
              <w:spacing w:before="0" w:after="0" w:line="240" w:lineRule="auto"/>
              <w:jc w:val="center"/>
            </w:pPr>
            <w:r>
              <w:rPr>
                <w:rFonts w:ascii="Calibri" w:hAnsi="Calibri" w:cs="Calibri" w:eastAsia="Calibri"/>
                <w:b/>
                <w:color w:val="FFFFFF"/>
                <w:sz w:val="24"/>
              </w:rPr>
              <w:t>Baseline</w:t>
            </w:r>
          </w:p>
        </w:tc>
        <w:tc>
          <w:tcPr>
            <w:tcW w:type="dxa" w:w="1390"/>
            <w:shd w:val="clear" w:color="auto" w:fill="0B2748"/>
            <w:vAlign w:val="center"/>
          </w:tcPr>
          <w:p>
            <w:pPr>
              <w:spacing w:before="0" w:after="0" w:line="240" w:lineRule="auto"/>
              <w:jc w:val="center"/>
            </w:pPr>
            <w:r>
              <w:rPr>
                <w:rFonts w:ascii="Calibri" w:hAnsi="Calibri" w:cs="Calibri" w:eastAsia="Calibri"/>
                <w:b/>
                <w:color w:val="FFFFFF"/>
                <w:sz w:val="24"/>
              </w:rPr>
              <w:t>Target</w:t>
            </w:r>
          </w:p>
        </w:tc>
        <w:tc>
          <w:tcPr>
            <w:tcW w:type="dxa" w:w="2362"/>
            <w:shd w:val="clear" w:color="auto" w:fill="0B2748"/>
            <w:vAlign w:val="center"/>
          </w:tcPr>
          <w:p>
            <w:pPr>
              <w:spacing w:before="0" w:after="0" w:line="240" w:lineRule="auto"/>
              <w:jc w:val="center"/>
            </w:pPr>
            <w:r>
              <w:rPr>
                <w:rFonts w:ascii="Calibri" w:hAnsi="Calibri" w:cs="Calibri" w:eastAsia="Calibri"/>
                <w:b/>
                <w:color w:val="FFFFFF"/>
                <w:sz w:val="24"/>
              </w:rPr>
              <w:t>Source</w:t>
            </w:r>
          </w:p>
        </w:tc>
        <w:tc>
          <w:tcPr>
            <w:tcW w:type="dxa" w:w="1958"/>
            <w:shd w:val="clear" w:color="auto" w:fill="0B2748"/>
            <w:vAlign w:val="center"/>
          </w:tcPr>
          <w:p>
            <w:pPr>
              <w:spacing w:before="0" w:after="0" w:line="240" w:lineRule="auto"/>
              <w:jc w:val="center"/>
            </w:pPr>
            <w:r>
              <w:rPr>
                <w:rFonts w:ascii="Calibri" w:hAnsi="Calibri" w:cs="Calibri" w:eastAsia="Calibri"/>
                <w:b/>
                <w:color w:val="FFFFFF"/>
                <w:sz w:val="24"/>
              </w:rPr>
              <w:t>Frequency</w:t>
            </w:r>
          </w:p>
        </w:tc>
      </w:tr>
      <w:tr>
        <w:trPr>
          <w:cantSplit/>
        </w:trPr>
        <w:tc>
          <w:tcPr>
            <w:tcW w:type="dxa" w:w="1052"/>
            <w:shd w:val="clear" w:color="auto" w:fill="FFFFFF"/>
            <w:vAlign w:val="top"/>
          </w:tcPr>
          <w:p>
            <w:pPr>
              <w:spacing w:before="0" w:after="0" w:line="240" w:lineRule="auto"/>
              <w:jc w:val="left"/>
            </w:pPr>
            <w:r>
              <w:rPr>
                <w:rFonts w:ascii="Calibri" w:hAnsi="Calibri" w:cs="Calibri" w:eastAsia="Calibri"/>
                <w:sz w:val="20"/>
              </w:rPr>
              <w:t>Impact</w:t>
            </w:r>
          </w:p>
        </w:tc>
        <w:tc>
          <w:tcPr>
            <w:tcW w:type="dxa" w:w="2748"/>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 Program-level impact statement]</w:t>
            </w:r>
          </w:p>
        </w:tc>
        <w:tc>
          <w:tcPr>
            <w:tcW w:type="dxa" w:w="206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 Impact indicator]</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 Impact data source]</w:t>
            </w:r>
          </w:p>
        </w:tc>
        <w:tc>
          <w:tcPr>
            <w:tcW w:type="dxa" w:w="1958"/>
            <w:shd w:val="clear" w:color="auto" w:fill="FFFFFF"/>
            <w:vAlign w:val="top"/>
          </w:tcPr>
          <w:p>
            <w:pPr>
              <w:spacing w:before="0" w:after="0" w:line="240" w:lineRule="auto"/>
              <w:jc w:val="left"/>
            </w:pPr>
            <w:r>
              <w:rPr>
                <w:rFonts w:ascii="Calibri" w:hAnsi="Calibri" w:cs="Calibri" w:eastAsia="Calibri"/>
                <w:sz w:val="20"/>
              </w:rPr>
              <w:t>Baseline, endline</w:t>
            </w:r>
          </w:p>
        </w:tc>
      </w:tr>
      <w:tr>
        <w:trPr>
          <w:cantSplit/>
        </w:trPr>
        <w:tc>
          <w:tcPr>
            <w:tcW w:type="dxa" w:w="1052"/>
            <w:vMerge w:val="restart"/>
            <w:shd w:val="clear" w:color="auto" w:fill="FFFFFF"/>
            <w:vAlign w:val="top"/>
          </w:tcPr>
          <w:p>
            <w:pPr>
              <w:spacing w:before="0" w:after="0" w:line="240" w:lineRule="auto"/>
              <w:jc w:val="left"/>
            </w:pPr>
            <w:r>
              <w:rPr>
                <w:rFonts w:ascii="Calibri" w:hAnsi="Calibri" w:cs="Calibri" w:eastAsia="Calibri"/>
                <w:sz w:val="20"/>
              </w:rPr>
              <w:t>Outcome</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Increased use of improved drinking water sources in target communities</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Percentage of target households using an improved water source as their primary drinking water source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Household survey using JMP core questions on water source type and primary source</w:t>
            </w:r>
          </w:p>
        </w:tc>
        <w:tc>
          <w:tcPr>
            <w:tcW w:type="dxa" w:w="1958"/>
            <w:shd w:val="clear" w:color="auto" w:fill="FFFFFF"/>
            <w:vAlign w:val="top"/>
          </w:tcPr>
          <w:p>
            <w:pPr>
              <w:spacing w:before="0" w:after="0" w:line="240" w:lineRule="auto"/>
              <w:jc w:val="left"/>
            </w:pPr>
            <w:r>
              <w:rPr>
                <w:rFonts w:ascii="Calibri" w:hAnsi="Calibri" w:cs="Calibri" w:eastAsia="Calibri"/>
                <w:sz w:val="20"/>
              </w:rPr>
              <w:t>Baseline (before construction), midterm (6 months post-construction), endline (18-24 months post-construction)</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Average liters of water per person per day collected from all sources (for drinking, cooking, and hygiene)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Household survey with recall questions on water collection quantities, spot-check observation of water storage containers</w:t>
            </w:r>
          </w:p>
        </w:tc>
        <w:tc>
          <w:tcPr>
            <w:tcW w:type="dxa" w:w="1958"/>
            <w:shd w:val="clear" w:color="auto" w:fill="FFFFFF"/>
            <w:vAlign w:val="top"/>
          </w:tcPr>
          <w:p>
            <w:pPr>
              <w:spacing w:before="0" w:after="0" w:line="240" w:lineRule="auto"/>
              <w:jc w:val="left"/>
            </w:pPr>
            <w:r>
              <w:rPr>
                <w:rFonts w:ascii="Calibri" w:hAnsi="Calibri" w:cs="Calibri" w:eastAsia="Calibri"/>
                <w:sz w:val="20"/>
              </w:rPr>
              <w:t>Baseline, midterm, endline</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Percentage of target households that can collect drinking water in less than 30 minutes round trip</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Household survey (self-reported collection time) or timed observation sample</w:t>
            </w:r>
          </w:p>
        </w:tc>
        <w:tc>
          <w:tcPr>
            <w:tcW w:type="dxa" w:w="1958"/>
            <w:shd w:val="clear" w:color="auto" w:fill="FFFFFF"/>
            <w:vAlign w:val="top"/>
          </w:tcPr>
          <w:p>
            <w:pPr>
              <w:spacing w:before="0" w:after="0" w:line="240" w:lineRule="auto"/>
              <w:jc w:val="left"/>
            </w:pPr>
            <w:r>
              <w:rPr>
                <w:rFonts w:ascii="Calibri" w:hAnsi="Calibri" w:cs="Calibri" w:eastAsia="Calibri"/>
                <w:sz w:val="20"/>
              </w:rPr>
              <w:t>Baseline, midterm, endline</w:t>
            </w:r>
          </w:p>
        </w:tc>
      </w:tr>
      <w:tr>
        <w:trPr>
          <w:cantSplit/>
        </w:trPr>
        <w:tc>
          <w:tcPr>
            <w:tcW w:type="dxa" w:w="1052"/>
            <w:vMerge/>
            <w:shd w:val="clear" w:color="auto" w:fill="FFFFFF"/>
            <w:vAlign w:val="top"/>
          </w:tcPr>
          <w:p>
            <w:pPr>
              <w:spacing w:before="0" w:after="0" w:line="240" w:lineRule="auto"/>
              <w:jc w:val="left"/>
            </w:pP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Increased consistent use of household water treatment, resulting in improved quality of drinking water consumed at household level</w:t>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Percentage of target households using safe water storage and treatment practices (treated water in clean, covered containers)</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Household survey with structured observation of water storage containers and water treatment materials presence; water quality spot-test in stored drinking water</w:t>
            </w:r>
          </w:p>
        </w:tc>
        <w:tc>
          <w:tcPr>
            <w:tcW w:type="dxa" w:w="1958"/>
            <w:shd w:val="clear" w:color="auto" w:fill="FFFFFF"/>
            <w:vAlign w:val="top"/>
          </w:tcPr>
          <w:p>
            <w:pPr>
              <w:spacing w:before="0" w:after="0" w:line="240" w:lineRule="auto"/>
              <w:jc w:val="left"/>
            </w:pPr>
            <w:r>
              <w:rPr>
                <w:rFonts w:ascii="Calibri" w:hAnsi="Calibri" w:cs="Calibri" w:eastAsia="Calibri"/>
                <w:sz w:val="20"/>
              </w:rPr>
              <w:t>Baseline, 3-month follow-up (during active supply), 6-month sustainability follow-up (after supply ends)</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Percentage of target households with water stored in treated form at time of unannounced visit (or with evidence of recent treatment)</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Rapid household spot-checks (unannounced); chlorine residual testing of stored water (0.2-0.5 mg/L FRC indicates recent chlorination)</w:t>
            </w:r>
          </w:p>
        </w:tc>
        <w:tc>
          <w:tcPr>
            <w:tcW w:type="dxa" w:w="1958"/>
            <w:shd w:val="clear" w:color="auto" w:fill="FFFFFF"/>
            <w:vAlign w:val="top"/>
          </w:tcPr>
          <w:p>
            <w:pPr>
              <w:spacing w:before="0" w:after="0" w:line="240" w:lineRule="auto"/>
              <w:jc w:val="left"/>
            </w:pPr>
            <w:r>
              <w:rPr>
                <w:rFonts w:ascii="Calibri" w:hAnsi="Calibri" w:cs="Calibri" w:eastAsia="Calibri"/>
                <w:sz w:val="20"/>
              </w:rPr>
              <w:t>3-month and 6-month post-distribution (unannounced spot check sample, 20-30% of HH)</w:t>
            </w:r>
          </w:p>
        </w:tc>
      </w:tr>
      <w:tr>
        <w:trPr>
          <w:cantSplit/>
        </w:trPr>
        <w:tc>
          <w:tcPr>
            <w:tcW w:type="dxa" w:w="1052"/>
            <w:vMerge w:val="restart"/>
            <w:shd w:val="clear" w:color="auto" w:fill="FFFFFF"/>
            <w:vAlign w:val="top"/>
          </w:tcPr>
          <w:p>
            <w:pPr>
              <w:spacing w:before="0" w:after="0" w:line="240" w:lineRule="auto"/>
              <w:jc w:val="left"/>
            </w:pPr>
            <w:r>
              <w:rPr>
                <w:rFonts w:ascii="Calibri" w:hAnsi="Calibri" w:cs="Calibri" w:eastAsia="Calibri"/>
                <w:sz w:val="20"/>
              </w:rPr>
              <w:t>Output</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Functional improved water points completed, tested for water quality and yield, and handed over to community management</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new water points completed and commissioned</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Handover certificates signed by community water committee and project staff, functionality test reports</w:t>
            </w:r>
          </w:p>
        </w:tc>
        <w:tc>
          <w:tcPr>
            <w:tcW w:type="dxa" w:w="1958"/>
            <w:shd w:val="clear" w:color="auto" w:fill="FFFFFF"/>
            <w:vAlign w:val="top"/>
          </w:tcPr>
          <w:p>
            <w:pPr>
              <w:spacing w:before="0" w:after="0" w:line="240" w:lineRule="auto"/>
              <w:jc w:val="left"/>
            </w:pPr>
            <w:r>
              <w:rPr>
                <w:rFonts w:ascii="Calibri" w:hAnsi="Calibri" w:cs="Calibri" w:eastAsia="Calibri"/>
                <w:sz w:val="20"/>
              </w:rPr>
              <w:t>At completion of each water point</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Number of people in the catchment area of completed water points (design population served)</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Household enumeration in catchment area (500m radius) during community mobilization phase</w:t>
            </w:r>
          </w:p>
        </w:tc>
        <w:tc>
          <w:tcPr>
            <w:tcW w:type="dxa" w:w="1958"/>
            <w:shd w:val="clear" w:color="auto" w:fill="FFFFFF"/>
            <w:vAlign w:val="top"/>
          </w:tcPr>
          <w:p>
            <w:pPr>
              <w:spacing w:before="0" w:after="0" w:line="240" w:lineRule="auto"/>
              <w:jc w:val="left"/>
            </w:pPr>
            <w:r>
              <w:rPr>
                <w:rFonts w:ascii="Calibri" w:hAnsi="Calibri" w:cs="Calibri" w:eastAsia="Calibri"/>
                <w:sz w:val="20"/>
              </w:rPr>
              <w:t>At completion of each water point</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Average distance from households to nearest functional water point</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GPS mapping of water points + household locations, calculate average distance</w:t>
            </w:r>
          </w:p>
        </w:tc>
        <w:tc>
          <w:tcPr>
            <w:tcW w:type="dxa" w:w="1958"/>
            <w:shd w:val="clear" w:color="auto" w:fill="FFFFFF"/>
            <w:vAlign w:val="top"/>
          </w:tcPr>
          <w:p>
            <w:pPr>
              <w:spacing w:before="0" w:after="0" w:line="240" w:lineRule="auto"/>
              <w:jc w:val="left"/>
            </w:pPr>
            <w:r>
              <w:rPr>
                <w:rFonts w:ascii="Calibri" w:hAnsi="Calibri" w:cs="Calibri" w:eastAsia="Calibri"/>
                <w:sz w:val="20"/>
              </w:rPr>
              <w:t>Baseline and at project completion</w:t>
            </w:r>
          </w:p>
        </w:tc>
      </w:tr>
      <w:tr>
        <w:trPr>
          <w:cantSplit/>
        </w:trPr>
        <w:tc>
          <w:tcPr>
            <w:tcW w:type="dxa" w:w="1052"/>
            <w:vMerge/>
            <w:shd w:val="clear" w:color="auto" w:fill="FFFFFF"/>
            <w:vAlign w:val="top"/>
          </w:tcPr>
          <w:p>
            <w:pPr>
              <w:spacing w:before="0" w:after="0" w:line="240" w:lineRule="auto"/>
              <w:jc w:val="left"/>
            </w:pP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Previously non-functional or underperforming water systems restored to full operational capacity and returned to community use</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water systems rehabilitated and returned to full function</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Functionality test reports (yield, water quality), handover certificates signed by community and project staff</w:t>
            </w:r>
          </w:p>
        </w:tc>
        <w:tc>
          <w:tcPr>
            <w:tcW w:type="dxa" w:w="1958"/>
            <w:shd w:val="clear" w:color="auto" w:fill="FFFFFF"/>
            <w:vAlign w:val="top"/>
          </w:tcPr>
          <w:p>
            <w:pPr>
              <w:spacing w:before="0" w:after="0" w:line="240" w:lineRule="auto"/>
              <w:jc w:val="left"/>
            </w:pPr>
            <w:r>
              <w:rPr>
                <w:rFonts w:ascii="Calibri" w:hAnsi="Calibri" w:cs="Calibri" w:eastAsia="Calibri"/>
                <w:sz w:val="20"/>
              </w:rPr>
              <w:t>At completion of each rehabilitation</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Number of people served by rehabilitated systems (restored service population)</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Community enumeration in catchment area during post-rehabilitation assessment; cross-reference with pre-rehabilitation service data</w:t>
            </w:r>
          </w:p>
        </w:tc>
        <w:tc>
          <w:tcPr>
            <w:tcW w:type="dxa" w:w="1958"/>
            <w:shd w:val="clear" w:color="auto" w:fill="FFFFFF"/>
            <w:vAlign w:val="top"/>
          </w:tcPr>
          <w:p>
            <w:pPr>
              <w:spacing w:before="0" w:after="0" w:line="240" w:lineRule="auto"/>
              <w:jc w:val="left"/>
            </w:pPr>
            <w:r>
              <w:rPr>
                <w:rFonts w:ascii="Calibri" w:hAnsi="Calibri" w:cs="Calibri" w:eastAsia="Calibri"/>
                <w:sz w:val="20"/>
              </w:rPr>
              <w:t>At completion of each rehabilitation</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Percentage of rehabilitated water points that meet water quality standards at handover</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Water quality testing at source (turbidity, E. coli, residual chlorine where applicable) at handover</w:t>
            </w:r>
          </w:p>
        </w:tc>
        <w:tc>
          <w:tcPr>
            <w:tcW w:type="dxa" w:w="1958"/>
            <w:shd w:val="clear" w:color="auto" w:fill="FFFFFF"/>
            <w:vAlign w:val="top"/>
          </w:tcPr>
          <w:p>
            <w:pPr>
              <w:spacing w:before="0" w:after="0" w:line="240" w:lineRule="auto"/>
              <w:jc w:val="left"/>
            </w:pPr>
            <w:r>
              <w:rPr>
                <w:rFonts w:ascii="Calibri" w:hAnsi="Calibri" w:cs="Calibri" w:eastAsia="Calibri"/>
                <w:sz w:val="20"/>
              </w:rPr>
              <w:t>At handover of each rehabilitated system</w:t>
            </w:r>
          </w:p>
        </w:tc>
      </w:tr>
      <w:tr>
        <w:trPr>
          <w:cantSplit/>
        </w:trPr>
        <w:tc>
          <w:tcPr>
            <w:tcW w:type="dxa" w:w="1052"/>
            <w:vMerge/>
            <w:shd w:val="clear" w:color="auto" w:fill="FFFFFF"/>
            <w:vAlign w:val="top"/>
          </w:tcPr>
          <w:p>
            <w:pPr>
              <w:spacing w:before="0" w:after="0" w:line="240" w:lineRule="auto"/>
              <w:jc w:val="left"/>
            </w:pP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Target households trained on household water treatment methods and supplied with appropriate water treatment products or technologies</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households trained on household water treatment methods</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Training attendance registers; post-training knowledge assessment (short quiz on correct dosage/procedure)</w:t>
            </w:r>
          </w:p>
        </w:tc>
        <w:tc>
          <w:tcPr>
            <w:tcW w:type="dxa" w:w="1958"/>
            <w:shd w:val="clear" w:color="auto" w:fill="FFFFFF"/>
            <w:vAlign w:val="top"/>
          </w:tcPr>
          <w:p>
            <w:pPr>
              <w:spacing w:before="0" w:after="0" w:line="240" w:lineRule="auto"/>
              <w:jc w:val="left"/>
            </w:pPr>
            <w:r>
              <w:rPr>
                <w:rFonts w:ascii="Calibri" w:hAnsi="Calibri" w:cs="Calibri" w:eastAsia="Calibri"/>
                <w:sz w:val="20"/>
              </w:rPr>
              <w:t>After each training cycle</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Number of households receiving water treatment products (e.g., PUR sachets, WaterGuard, Aquatabs, ceramic filters)</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Distribution registers with household signatures</w:t>
            </w:r>
          </w:p>
        </w:tc>
        <w:tc>
          <w:tcPr>
            <w:tcW w:type="dxa" w:w="1958"/>
            <w:shd w:val="clear" w:color="auto" w:fill="FFFFFF"/>
            <w:vAlign w:val="top"/>
          </w:tcPr>
          <w:p>
            <w:pPr>
              <w:spacing w:before="0" w:after="0" w:line="240" w:lineRule="auto"/>
              <w:jc w:val="left"/>
            </w:pPr>
            <w:r>
              <w:rPr>
                <w:rFonts w:ascii="Calibri" w:hAnsi="Calibri" w:cs="Calibri" w:eastAsia="Calibri"/>
                <w:sz w:val="20"/>
              </w:rPr>
              <w:t>Per distribution event</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Percentage of trained households demonstrating correct water treatment procedure during immediate post-training observation</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Structured observation checklist administered by field staff immediately after training</w:t>
            </w:r>
          </w:p>
        </w:tc>
        <w:tc>
          <w:tcPr>
            <w:tcW w:type="dxa" w:w="1958"/>
            <w:shd w:val="clear" w:color="auto" w:fill="FFFFFF"/>
            <w:vAlign w:val="top"/>
          </w:tcPr>
          <w:p>
            <w:pPr>
              <w:spacing w:before="0" w:after="0" w:line="240" w:lineRule="auto"/>
              <w:jc w:val="left"/>
            </w:pPr>
            <w:r>
              <w:rPr>
                <w:rFonts w:ascii="Calibri" w:hAnsi="Calibri" w:cs="Calibri" w:eastAsia="Calibri"/>
                <w:sz w:val="20"/>
              </w:rPr>
              <w:t>Post-training (sample, 20-30% of trained households)</w:t>
            </w:r>
          </w:p>
        </w:tc>
      </w:tr>
      <w:tr>
        <w:trPr>
          <w:cantSplit/>
        </w:trPr>
        <w:tc>
          <w:tcPr>
            <w:tcW w:type="dxa" w:w="1052"/>
            <w:vMerge w:val="restart"/>
            <w:shd w:val="clear" w:color="auto" w:fill="FFFFFF"/>
            <w:vAlign w:val="top"/>
          </w:tcPr>
          <w:p>
            <w:pPr>
              <w:spacing w:before="0" w:after="0" w:line="240" w:lineRule="auto"/>
              <w:jc w:val="left"/>
            </w:pPr>
            <w:r>
              <w:rPr>
                <w:rFonts w:ascii="Calibri" w:hAnsi="Calibri" w:cs="Calibri" w:eastAsia="Calibri"/>
                <w:sz w:val="20"/>
              </w:rPr>
              <w:t>Activity</w:t>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p>
            <w:pPr>
              <w:spacing w:before="0" w:after="0" w:line="240" w:lineRule="auto"/>
              <w:jc w:val="left"/>
            </w:pPr>
            <w:r>
              <w:rPr>
                <w:rFonts w:ascii="Calibri" w:hAnsi="Calibri" w:cs="Calibri" w:eastAsia="Calibri"/>
                <w:sz w:val="20"/>
              </w:rPr>
            </w: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Construct new community water points (boreholes with handpumps, protected springs, or gravity-fed piped systems) in underserved communities</w:t>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water points under construction during reporting period</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Monthly construction progress reports from contractor and field supervision visits</w:t>
            </w:r>
          </w:p>
        </w:tc>
        <w:tc>
          <w:tcPr>
            <w:tcW w:type="dxa" w:w="1958"/>
            <w:shd w:val="clear" w:color="auto" w:fill="FFFFFF"/>
            <w:vAlign w:val="top"/>
          </w:tcPr>
          <w:p>
            <w:pPr>
              <w:spacing w:before="0" w:after="0" w:line="240" w:lineRule="auto"/>
              <w:jc w:val="left"/>
            </w:pPr>
            <w:r>
              <w:rPr>
                <w:rFonts w:ascii="Calibri" w:hAnsi="Calibri" w:cs="Calibri" w:eastAsia="Calibri"/>
                <w:sz w:val="20"/>
              </w:rPr>
              <w:t>Monthly during construction phase</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Percentage of planned water points where construction commenced on schedule</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Project implementation tracking system, construction schedule vs. actual progress</w:t>
            </w:r>
          </w:p>
        </w:tc>
        <w:tc>
          <w:tcPr>
            <w:tcW w:type="dxa" w:w="1958"/>
            <w:shd w:val="clear" w:color="auto" w:fill="FFFFFF"/>
            <w:vAlign w:val="top"/>
          </w:tcPr>
          <w:p>
            <w:pPr>
              <w:spacing w:before="0" w:after="0" w:line="240" w:lineRule="auto"/>
              <w:jc w:val="left"/>
            </w:pPr>
            <w:r>
              <w:rPr>
                <w:rFonts w:ascii="Calibri" w:hAnsi="Calibri" w:cs="Calibri" w:eastAsia="Calibri"/>
                <w:sz w:val="20"/>
              </w:rPr>
              <w:t>Quarterly</w:t>
            </w:r>
          </w:p>
        </w:tc>
      </w:tr>
      <w:tr>
        <w:trPr>
          <w:cantSplit/>
        </w:trPr>
        <w:tc>
          <w:tcPr>
            <w:tcW w:type="dxa" w:w="1052"/>
            <w:vMerge/>
            <w:shd w:val="clear" w:color="auto" w:fill="FFFFFF"/>
            <w:vAlign w:val="top"/>
          </w:tcPr>
          <w:p>
            <w:pPr>
              <w:spacing w:before="0" w:after="0" w:line="240" w:lineRule="auto"/>
              <w:jc w:val="left"/>
            </w:pP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Rehabilitate existing non-functional or underperforming water systems (replace broken handpumps, repair distribution networks, upgrade intake structures, restore boreholes)</w:t>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water systems assessed for rehabilitation needs</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Technical assessment forms completed by field engineers or trained WASH technicians during site visits</w:t>
            </w:r>
          </w:p>
        </w:tc>
        <w:tc>
          <w:tcPr>
            <w:tcW w:type="dxa" w:w="1958"/>
            <w:shd w:val="clear" w:color="auto" w:fill="FFFFFF"/>
            <w:vAlign w:val="top"/>
          </w:tcPr>
          <w:p>
            <w:pPr>
              <w:spacing w:before="0" w:after="0" w:line="240" w:lineRule="auto"/>
              <w:jc w:val="left"/>
            </w:pPr>
            <w:r>
              <w:rPr>
                <w:rFonts w:ascii="Calibri" w:hAnsi="Calibri" w:cs="Calibri" w:eastAsia="Calibri"/>
                <w:sz w:val="20"/>
              </w:rPr>
              <w:t>Once per system, during needs assessment phase</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Number of rehabilitation works in progress during reporting period</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Monthly contractor progress reports and field supervision visit logs</w:t>
            </w:r>
          </w:p>
        </w:tc>
        <w:tc>
          <w:tcPr>
            <w:tcW w:type="dxa" w:w="1958"/>
            <w:shd w:val="clear" w:color="auto" w:fill="FFFFFF"/>
            <w:vAlign w:val="top"/>
          </w:tcPr>
          <w:p>
            <w:pPr>
              <w:spacing w:before="0" w:after="0" w:line="240" w:lineRule="auto"/>
              <w:jc w:val="left"/>
            </w:pPr>
            <w:r>
              <w:rPr>
                <w:rFonts w:ascii="Calibri" w:hAnsi="Calibri" w:cs="Calibri" w:eastAsia="Calibri"/>
                <w:sz w:val="20"/>
              </w:rPr>
              <w:t>Monthly during rehabilitation phase</w:t>
            </w:r>
          </w:p>
        </w:tc>
      </w:tr>
      <w:tr>
        <w:trPr>
          <w:cantSplit/>
        </w:trPr>
        <w:tc>
          <w:tcPr>
            <w:tcW w:type="dxa" w:w="1052"/>
            <w:vMerge/>
            <w:shd w:val="clear" w:color="auto" w:fill="FFFFFF"/>
            <w:vAlign w:val="top"/>
          </w:tcPr>
          <w:p>
            <w:pPr>
              <w:spacing w:before="0" w:after="0" w:line="240" w:lineRule="auto"/>
              <w:jc w:val="left"/>
            </w:pPr>
          </w:p>
        </w:tc>
        <w:tc>
          <w:tcPr>
            <w:tcW w:type="dxa" w:w="2748"/>
            <w:vMerge w:val="restart"/>
            <w:shd w:val="clear" w:color="auto" w:fill="FFFFFF"/>
            <w:vAlign w:val="top"/>
          </w:tcPr>
          <w:p>
            <w:pPr>
              <w:spacing w:before="0" w:after="0" w:line="240" w:lineRule="auto"/>
              <w:jc w:val="left"/>
            </w:pPr>
            <w:r>
              <w:rPr>
                <w:rFonts w:ascii="Calibri" w:hAnsi="Calibri" w:cs="Calibri" w:eastAsia="Calibri"/>
                <w:sz w:val="20"/>
              </w:rPr>
              <w:t>Distribute household water treatment supplies (chlorine products such as WaterGuard or Aquatabs, flocculant-disinfectant sachets such as PUR, ceramic filters, or biosand filters) and train households on consistent correct use, including water storage hygiene</w:t>
            </w:r>
          </w:p>
          <w:p>
            <w:pPr>
              <w:spacing w:before="0" w:after="0" w:line="240" w:lineRule="auto"/>
              <w:jc w:val="left"/>
            </w:pPr>
            <w:r>
              <w:rPr>
                <w:rFonts w:ascii="Calibri" w:hAnsi="Calibri" w:cs="Calibri" w:eastAsia="Calibri"/>
                <w:sz w:val="20"/>
              </w:rPr>
            </w:r>
          </w:p>
        </w:tc>
        <w:tc>
          <w:tcPr>
            <w:tcW w:type="dxa" w:w="2060"/>
            <w:shd w:val="clear" w:color="auto" w:fill="FFFFFF"/>
            <w:vAlign w:val="top"/>
          </w:tcPr>
          <w:p>
            <w:pPr>
              <w:spacing w:before="0" w:after="0" w:line="240" w:lineRule="auto"/>
              <w:jc w:val="left"/>
            </w:pPr>
            <w:r>
              <w:rPr>
                <w:rFonts w:ascii="Calibri" w:hAnsi="Calibri" w:cs="Calibri" w:eastAsia="Calibri"/>
                <w:sz w:val="20"/>
              </w:rPr>
              <w:t>Number of household water treatment training sessions conducted</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Training attendance registers and session facilitator reports</w:t>
            </w:r>
          </w:p>
        </w:tc>
        <w:tc>
          <w:tcPr>
            <w:tcW w:type="dxa" w:w="1958"/>
            <w:shd w:val="clear" w:color="auto" w:fill="FFFFFF"/>
            <w:vAlign w:val="top"/>
          </w:tcPr>
          <w:p>
            <w:pPr>
              <w:spacing w:before="0" w:after="0" w:line="240" w:lineRule="auto"/>
              <w:jc w:val="left"/>
            </w:pPr>
            <w:r>
              <w:rPr>
                <w:rFonts w:ascii="Calibri" w:hAnsi="Calibri" w:cs="Calibri" w:eastAsia="Calibri"/>
                <w:sz w:val="20"/>
              </w:rPr>
              <w:t>Monthly during distribution/training phase</w:t>
            </w:r>
          </w:p>
        </w:tc>
      </w:tr>
      <w:tr>
        <w:trPr>
          <w:cantSplit/>
        </w:trPr>
        <w:tc>
          <w:tcPr>
            <w:tcW w:type="dxa" w:w="1052"/>
            <w:vMerge/>
            <w:shd w:val="clear" w:color="auto" w:fill="FFFFFF"/>
            <w:vAlign w:val="top"/>
          </w:tcPr>
          <w:p>
            <w:pPr>
              <w:spacing w:before="0" w:after="0" w:line="240" w:lineRule="auto"/>
              <w:jc w:val="left"/>
            </w:pPr>
          </w:p>
        </w:tc>
        <w:tc>
          <w:tcPr>
            <w:tcW w:type="dxa" w:w="2748"/>
            <w:vMerge/>
            <w:shd w:val="clear" w:color="auto" w:fill="FFFFFF"/>
            <w:vAlign w:val="top"/>
          </w:tcPr>
          <w:p>
            <w:pPr>
              <w:spacing w:before="0" w:after="0" w:line="240" w:lineRule="auto"/>
              <w:jc w:val="left"/>
            </w:pPr>
          </w:p>
        </w:tc>
        <w:tc>
          <w:tcPr>
            <w:tcW w:type="dxa" w:w="2060"/>
            <w:shd w:val="clear" w:color="auto" w:fill="FFFFFF"/>
            <w:vAlign w:val="top"/>
          </w:tcPr>
          <w:p>
            <w:pPr>
              <w:spacing w:before="0" w:after="0" w:line="240" w:lineRule="auto"/>
              <w:jc w:val="left"/>
            </w:pPr>
            <w:r>
              <w:rPr>
                <w:rFonts w:ascii="Calibri" w:hAnsi="Calibri" w:cs="Calibri" w:eastAsia="Calibri"/>
                <w:sz w:val="20"/>
              </w:rPr>
              <w:t>Number of households receiving water treatment supplies</w:t>
            </w:r>
          </w:p>
        </w:tc>
        <w:tc>
          <w:tcPr>
            <w:tcW w:type="dxa" w:w="1390"/>
            <w:shd w:val="clear" w:color="auto" w:fill="FFFFFF"/>
            <w:vAlign w:val="top"/>
          </w:tcPr>
          <w:p>
            <w:pPr>
              <w:spacing w:before="0" w:after="0" w:line="240" w:lineRule="auto"/>
              <w:jc w:val="left"/>
            </w:pPr>
            <w:r>
              <w:rPr>
                <w:rFonts w:ascii="Calibri" w:hAnsi="Calibri" w:cs="Calibri" w:eastAsia="Calibri"/>
                <w:sz w:val="20"/>
              </w:rPr>
              <w:t>0</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2362"/>
            <w:shd w:val="clear" w:color="auto" w:fill="FFFFFF"/>
            <w:vAlign w:val="top"/>
          </w:tcPr>
          <w:p>
            <w:pPr>
              <w:spacing w:before="0" w:after="0" w:line="240" w:lineRule="auto"/>
              <w:jc w:val="left"/>
            </w:pPr>
            <w:r>
              <w:rPr>
                <w:rFonts w:ascii="Calibri" w:hAnsi="Calibri" w:cs="Calibri" w:eastAsia="Calibri"/>
                <w:sz w:val="20"/>
              </w:rPr>
              <w:t>Distribution tracking sheets, signed receipt by household representative</w:t>
            </w:r>
          </w:p>
        </w:tc>
        <w:tc>
          <w:tcPr>
            <w:tcW w:type="dxa" w:w="1958"/>
            <w:shd w:val="clear" w:color="auto" w:fill="FFFFFF"/>
            <w:vAlign w:val="top"/>
          </w:tcPr>
          <w:p>
            <w:pPr>
              <w:spacing w:before="0" w:after="0" w:line="240" w:lineRule="auto"/>
              <w:jc w:val="left"/>
            </w:pPr>
            <w:r>
              <w:rPr>
                <w:rFonts w:ascii="Calibri" w:hAnsi="Calibri" w:cs="Calibri" w:eastAsia="Calibri"/>
                <w:sz w:val="20"/>
              </w:rPr>
              <w:t>Per distribution event</w:t>
            </w:r>
          </w:p>
        </w:tc>
      </w:tr>
    </w:tbl>
    <w:p>
      <w:pPr>
        <w:spacing w:after="0"/>
      </w:pPr>
    </w:p>
    <w:p>
      <w:pPr>
        <w:sectPr>
          <w:footerReference w:type="default" r:id="rId10"/>
          <w:pgSz w:w="15840" w:h="12240" w:orient="landscape"/>
          <w:pgMar w:top="1440" w:right="1440" w:bottom="1440" w:left="1440" w:header="720" w:footer="720" w:gutter="0"/>
          <w:cols w:space="720"/>
          <w:docGrid w:linePitch="360"/>
        </w:sectPr>
      </w:pPr>
    </w:p>
    <w:p>
      <w:pPr>
        <w:pStyle w:val="Heading1"/>
      </w:pPr>
      <w:r>
        <w:t>3. Data Collection Architecture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841"/>
        <w:gridCol w:w="2118"/>
        <w:gridCol w:w="2125"/>
        <w:gridCol w:w="1630"/>
        <w:gridCol w:w="1644"/>
      </w:tblGrid>
      <w:tr>
        <w:trPr>
          <w:cantSplit/>
          <w:tblHeader/>
        </w:trPr>
        <w:tc>
          <w:tcPr>
            <w:tcW w:type="dxa" w:w="1841"/>
            <w:shd w:val="clear" w:color="auto" w:fill="0B2748"/>
            <w:vAlign w:val="center"/>
          </w:tcPr>
          <w:p>
            <w:pPr>
              <w:spacing w:before="0" w:after="0" w:line="240" w:lineRule="auto"/>
              <w:jc w:val="center"/>
            </w:pPr>
            <w:r>
              <w:rPr>
                <w:rFonts w:ascii="Calibri" w:hAnsi="Calibri" w:cs="Calibri" w:eastAsia="Calibri"/>
                <w:b/>
                <w:color w:val="FFFFFF"/>
                <w:sz w:val="24"/>
              </w:rPr>
              <w:t>Method</w:t>
            </w:r>
          </w:p>
        </w:tc>
        <w:tc>
          <w:tcPr>
            <w:tcW w:type="dxa" w:w="2118"/>
            <w:shd w:val="clear" w:color="auto" w:fill="0B2748"/>
            <w:vAlign w:val="center"/>
          </w:tcPr>
          <w:p>
            <w:pPr>
              <w:spacing w:before="0" w:after="0" w:line="240" w:lineRule="auto"/>
              <w:jc w:val="center"/>
            </w:pPr>
            <w:r>
              <w:rPr>
                <w:rFonts w:ascii="Calibri" w:hAnsi="Calibri" w:cs="Calibri" w:eastAsia="Calibri"/>
                <w:b/>
                <w:color w:val="FFFFFF"/>
                <w:sz w:val="24"/>
              </w:rPr>
              <w:t>Target Group</w:t>
            </w:r>
          </w:p>
        </w:tc>
        <w:tc>
          <w:tcPr>
            <w:tcW w:type="dxa" w:w="2125"/>
            <w:shd w:val="clear" w:color="auto" w:fill="0B2748"/>
            <w:vAlign w:val="center"/>
          </w:tcPr>
          <w:p>
            <w:pPr>
              <w:spacing w:before="0" w:after="0" w:line="240" w:lineRule="auto"/>
              <w:jc w:val="center"/>
            </w:pPr>
            <w:r>
              <w:rPr>
                <w:rFonts w:ascii="Calibri" w:hAnsi="Calibri" w:cs="Calibri" w:eastAsia="Calibri"/>
                <w:b/>
                <w:color w:val="FFFFFF"/>
                <w:sz w:val="24"/>
              </w:rPr>
              <w:t>Sample Size</w:t>
            </w:r>
          </w:p>
        </w:tc>
        <w:tc>
          <w:tcPr>
            <w:tcW w:type="dxa" w:w="1630"/>
            <w:shd w:val="clear" w:color="auto" w:fill="0B2748"/>
            <w:vAlign w:val="center"/>
          </w:tcPr>
          <w:p>
            <w:pPr>
              <w:spacing w:before="0" w:after="0" w:line="240" w:lineRule="auto"/>
              <w:jc w:val="center"/>
            </w:pPr>
            <w:r>
              <w:rPr>
                <w:rFonts w:ascii="Calibri" w:hAnsi="Calibri" w:cs="Calibri" w:eastAsia="Calibri"/>
                <w:b/>
                <w:color w:val="FFFFFF"/>
                <w:sz w:val="24"/>
              </w:rPr>
              <w:t>Frequency</w:t>
            </w:r>
          </w:p>
        </w:tc>
        <w:tc>
          <w:tcPr>
            <w:tcW w:type="dxa" w:w="1644"/>
            <w:shd w:val="clear" w:color="auto" w:fill="0B2748"/>
            <w:vAlign w:val="center"/>
          </w:tcPr>
          <w:p>
            <w:pPr>
              <w:spacing w:before="0" w:after="0" w:line="240" w:lineRule="auto"/>
              <w:jc w:val="center"/>
            </w:pPr>
            <w:r>
              <w:rPr>
                <w:rFonts w:ascii="Calibri" w:hAnsi="Calibri" w:cs="Calibri" w:eastAsia="Calibri"/>
                <w:b/>
                <w:color w:val="FFFFFF"/>
                <w:sz w:val="24"/>
              </w:rPr>
              <w:t>Responsible</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Household Survey (Quantitative)</w:t>
            </w:r>
          </w:p>
        </w:tc>
        <w:tc>
          <w:tcPr>
            <w:tcW w:type="dxa" w:w="2118"/>
            <w:shd w:val="clear" w:color="auto" w:fill="FFFFFF"/>
            <w:vAlign w:val="top"/>
          </w:tcPr>
          <w:p>
            <w:pPr>
              <w:spacing w:before="0" w:after="0" w:line="240" w:lineRule="auto"/>
              <w:jc w:val="left"/>
            </w:pPr>
            <w:r>
              <w:rPr>
                <w:rFonts w:ascii="Calibri" w:hAnsi="Calibri" w:cs="Calibri" w:eastAsia="Calibri"/>
                <w:sz w:val="20"/>
              </w:rPr>
              <w:t>Beneficiary households in target areas</w:t>
            </w:r>
          </w:p>
        </w:tc>
        <w:tc>
          <w:tcPr>
            <w:tcW w:type="dxa" w:w="2125"/>
            <w:shd w:val="clear" w:color="auto" w:fill="FFFFFF"/>
            <w:vAlign w:val="top"/>
          </w:tcPr>
          <w:p>
            <w:pPr>
              <w:spacing w:before="0" w:after="0" w:line="240" w:lineRule="auto"/>
              <w:jc w:val="left"/>
            </w:pPr>
            <w:r>
              <w:rPr>
                <w:rFonts w:ascii="Calibri" w:hAnsi="Calibri" w:cs="Calibri" w:eastAsia="Calibri"/>
                <w:sz w:val="20"/>
              </w:rPr>
              <w:t>Minimum 384 HH per round (95% CI, 5% margin); stratified by community and relevant grouping</w:t>
            </w:r>
          </w:p>
        </w:tc>
        <w:tc>
          <w:tcPr>
            <w:tcW w:type="dxa" w:w="1630"/>
            <w:shd w:val="clear" w:color="auto" w:fill="FFFFFF"/>
            <w:vAlign w:val="top"/>
          </w:tcPr>
          <w:p>
            <w:pPr>
              <w:spacing w:before="0" w:after="0" w:line="240" w:lineRule="auto"/>
              <w:jc w:val="left"/>
            </w:pPr>
            <w:r>
              <w:rPr>
                <w:rFonts w:ascii="Calibri" w:hAnsi="Calibri" w:cs="Calibri" w:eastAsia="Calibri"/>
                <w:sz w:val="20"/>
              </w:rPr>
              <w:t>Baseline, midterm, endline</w:t>
            </w:r>
          </w:p>
        </w:tc>
        <w:tc>
          <w:tcPr>
            <w:tcW w:type="dxa" w:w="1644"/>
            <w:shd w:val="clear" w:color="auto" w:fill="FFFFFF"/>
            <w:vAlign w:val="top"/>
          </w:tcPr>
          <w:p>
            <w:pPr>
              <w:spacing w:before="0" w:after="0" w:line="240" w:lineRule="auto"/>
              <w:jc w:val="left"/>
            </w:pPr>
            <w:r>
              <w:rPr>
                <w:rFonts w:ascii="Calibri" w:hAnsi="Calibri" w:cs="Calibri" w:eastAsia="Calibri"/>
                <w:sz w:val="20"/>
              </w:rPr>
              <w:t>M&amp;E Officer with trained enumerators</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Key Informant Interviews</w:t>
            </w:r>
          </w:p>
        </w:tc>
        <w:tc>
          <w:tcPr>
            <w:tcW w:type="dxa" w:w="2118"/>
            <w:shd w:val="clear" w:color="auto" w:fill="FFFFFF"/>
            <w:vAlign w:val="top"/>
          </w:tcPr>
          <w:p>
            <w:pPr>
              <w:spacing w:before="0" w:after="0" w:line="240" w:lineRule="auto"/>
              <w:jc w:val="left"/>
            </w:pPr>
            <w:r>
              <w:rPr>
                <w:rFonts w:ascii="Calibri" w:hAnsi="Calibri" w:cs="Calibri" w:eastAsia="Calibri"/>
                <w:sz w:val="20"/>
              </w:rPr>
              <w:t>Program stakeholders, community leaders, local government</w:t>
            </w:r>
          </w:p>
        </w:tc>
        <w:tc>
          <w:tcPr>
            <w:tcW w:type="dxa" w:w="2125"/>
            <w:shd w:val="clear" w:color="auto" w:fill="FFFFFF"/>
            <w:vAlign w:val="top"/>
          </w:tcPr>
          <w:p>
            <w:pPr>
              <w:spacing w:before="0" w:after="0" w:line="240" w:lineRule="auto"/>
              <w:jc w:val="left"/>
            </w:pPr>
            <w:r>
              <w:rPr>
                <w:rFonts w:ascii="Calibri" w:hAnsi="Calibri" w:cs="Calibri" w:eastAsia="Calibri"/>
                <w:sz w:val="20"/>
              </w:rPr>
              <w:t>1-2 KII per community (purposive sample)</w:t>
            </w:r>
          </w:p>
        </w:tc>
        <w:tc>
          <w:tcPr>
            <w:tcW w:type="dxa" w:w="1630"/>
            <w:shd w:val="clear" w:color="auto" w:fill="FFFFFF"/>
            <w:vAlign w:val="top"/>
          </w:tcPr>
          <w:p>
            <w:pPr>
              <w:spacing w:before="0" w:after="0" w:line="240" w:lineRule="auto"/>
              <w:jc w:val="left"/>
            </w:pPr>
            <w:r>
              <w:rPr>
                <w:rFonts w:ascii="Calibri" w:hAnsi="Calibri" w:cs="Calibri" w:eastAsia="Calibri"/>
                <w:sz w:val="20"/>
              </w:rPr>
              <w:t>Quarterly</w:t>
            </w:r>
          </w:p>
        </w:tc>
        <w:tc>
          <w:tcPr>
            <w:tcW w:type="dxa" w:w="1644"/>
            <w:shd w:val="clear" w:color="auto" w:fill="FFFFFF"/>
            <w:vAlign w:val="top"/>
          </w:tcPr>
          <w:p>
            <w:pPr>
              <w:spacing w:before="0" w:after="0" w:line="240" w:lineRule="auto"/>
              <w:jc w:val="left"/>
            </w:pPr>
            <w:r>
              <w:rPr>
                <w:rFonts w:ascii="Calibri" w:hAnsi="Calibri" w:cs="Calibri" w:eastAsia="Calibri"/>
                <w:sz w:val="20"/>
              </w:rPr>
              <w:t>M&amp;E Lead</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Focus Group Discussions</w:t>
            </w:r>
          </w:p>
        </w:tc>
        <w:tc>
          <w:tcPr>
            <w:tcW w:type="dxa" w:w="2118"/>
            <w:shd w:val="clear" w:color="auto" w:fill="FFFFFF"/>
            <w:vAlign w:val="top"/>
          </w:tcPr>
          <w:p>
            <w:pPr>
              <w:spacing w:before="0" w:after="0" w:line="240" w:lineRule="auto"/>
              <w:jc w:val="left"/>
            </w:pPr>
            <w:r>
              <w:rPr>
                <w:rFonts w:ascii="Calibri" w:hAnsi="Calibri" w:cs="Calibri" w:eastAsia="Calibri"/>
                <w:sz w:val="20"/>
              </w:rPr>
              <w:t>Beneficiary groups, community leaders</w:t>
            </w:r>
          </w:p>
        </w:tc>
        <w:tc>
          <w:tcPr>
            <w:tcW w:type="dxa" w:w="2125"/>
            <w:shd w:val="clear" w:color="auto" w:fill="FFFFFF"/>
            <w:vAlign w:val="top"/>
          </w:tcPr>
          <w:p>
            <w:pPr>
              <w:spacing w:before="0" w:after="0" w:line="240" w:lineRule="auto"/>
              <w:jc w:val="left"/>
            </w:pPr>
            <w:r>
              <w:rPr>
                <w:rFonts w:ascii="Calibri" w:hAnsi="Calibri" w:cs="Calibri" w:eastAsia="Calibri"/>
                <w:sz w:val="20"/>
              </w:rPr>
              <w:t>1 FGD per community cluster (6-10 participants)</w:t>
            </w:r>
          </w:p>
        </w:tc>
        <w:tc>
          <w:tcPr>
            <w:tcW w:type="dxa" w:w="1630"/>
            <w:shd w:val="clear" w:color="auto" w:fill="FFFFFF"/>
            <w:vAlign w:val="top"/>
          </w:tcPr>
          <w:p>
            <w:pPr>
              <w:spacing w:before="0" w:after="0" w:line="240" w:lineRule="auto"/>
              <w:jc w:val="left"/>
            </w:pPr>
            <w:r>
              <w:rPr>
                <w:rFonts w:ascii="Calibri" w:hAnsi="Calibri" w:cs="Calibri" w:eastAsia="Calibri"/>
                <w:sz w:val="20"/>
              </w:rPr>
              <w:t>Midterm and endline</w:t>
            </w:r>
          </w:p>
        </w:tc>
        <w:tc>
          <w:tcPr>
            <w:tcW w:type="dxa" w:w="1644"/>
            <w:shd w:val="clear" w:color="auto" w:fill="FFFFFF"/>
            <w:vAlign w:val="top"/>
          </w:tcPr>
          <w:p>
            <w:pPr>
              <w:spacing w:before="0" w:after="0" w:line="240" w:lineRule="auto"/>
              <w:jc w:val="left"/>
            </w:pPr>
            <w:r>
              <w:rPr>
                <w:rFonts w:ascii="Calibri" w:hAnsi="Calibri" w:cs="Calibri" w:eastAsia="Calibri"/>
                <w:sz w:val="20"/>
              </w:rPr>
              <w:t>M&amp;E Lead with facilitator</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Structured Observation / Spot-Checks</w:t>
            </w:r>
          </w:p>
        </w:tc>
        <w:tc>
          <w:tcPr>
            <w:tcW w:type="dxa" w:w="2118"/>
            <w:shd w:val="clear" w:color="auto" w:fill="FFFFFF"/>
            <w:vAlign w:val="top"/>
          </w:tcPr>
          <w:p>
            <w:pPr>
              <w:spacing w:before="0" w:after="0" w:line="240" w:lineRule="auto"/>
              <w:jc w:val="left"/>
            </w:pPr>
            <w:r>
              <w:rPr>
                <w:rFonts w:ascii="Calibri" w:hAnsi="Calibri" w:cs="Calibri" w:eastAsia="Calibri"/>
                <w:sz w:val="20"/>
              </w:rPr>
              <w:t>Beneficiary households or service delivery points</w:t>
            </w:r>
          </w:p>
        </w:tc>
        <w:tc>
          <w:tcPr>
            <w:tcW w:type="dxa" w:w="2125"/>
            <w:shd w:val="clear" w:color="auto" w:fill="FFFFFF"/>
            <w:vAlign w:val="top"/>
          </w:tcPr>
          <w:p>
            <w:pPr>
              <w:spacing w:before="0" w:after="0" w:line="240" w:lineRule="auto"/>
              <w:jc w:val="left"/>
            </w:pPr>
            <w:r>
              <w:rPr>
                <w:rFonts w:ascii="Calibri" w:hAnsi="Calibri" w:cs="Calibri" w:eastAsia="Calibri"/>
                <w:sz w:val="20"/>
              </w:rPr>
              <w:t>20-30% random sample</w:t>
            </w:r>
          </w:p>
        </w:tc>
        <w:tc>
          <w:tcPr>
            <w:tcW w:type="dxa" w:w="1630"/>
            <w:shd w:val="clear" w:color="auto" w:fill="FFFFFF"/>
            <w:vAlign w:val="top"/>
          </w:tcPr>
          <w:p>
            <w:pPr>
              <w:spacing w:before="0" w:after="0" w:line="240" w:lineRule="auto"/>
              <w:jc w:val="left"/>
            </w:pPr>
            <w:r>
              <w:rPr>
                <w:rFonts w:ascii="Calibri" w:hAnsi="Calibri" w:cs="Calibri" w:eastAsia="Calibri"/>
                <w:sz w:val="20"/>
              </w:rPr>
              <w:t>Per activity cycle or quarterly</w:t>
            </w:r>
          </w:p>
        </w:tc>
        <w:tc>
          <w:tcPr>
            <w:tcW w:type="dxa" w:w="1644"/>
            <w:shd w:val="clear" w:color="auto" w:fill="FFFFFF"/>
            <w:vAlign w:val="top"/>
          </w:tcPr>
          <w:p>
            <w:pPr>
              <w:spacing w:before="0" w:after="0" w:line="240" w:lineRule="auto"/>
              <w:jc w:val="left"/>
            </w:pPr>
            <w:r>
              <w:rPr>
                <w:rFonts w:ascii="Calibri" w:hAnsi="Calibri" w:cs="Calibri" w:eastAsia="Calibri"/>
                <w:sz w:val="20"/>
              </w:rPr>
              <w:t>Field monitors</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Activity Supervision Visits</w:t>
            </w:r>
          </w:p>
        </w:tc>
        <w:tc>
          <w:tcPr>
            <w:tcW w:type="dxa" w:w="2118"/>
            <w:shd w:val="clear" w:color="auto" w:fill="FFFFFF"/>
            <w:vAlign w:val="top"/>
          </w:tcPr>
          <w:p>
            <w:pPr>
              <w:spacing w:before="0" w:after="0" w:line="240" w:lineRule="auto"/>
              <w:jc w:val="left"/>
            </w:pPr>
            <w:r>
              <w:rPr>
                <w:rFonts w:ascii="Calibri" w:hAnsi="Calibri" w:cs="Calibri" w:eastAsia="Calibri"/>
                <w:sz w:val="20"/>
              </w:rPr>
              <w:t>Active implementation sites</w:t>
            </w:r>
          </w:p>
        </w:tc>
        <w:tc>
          <w:tcPr>
            <w:tcW w:type="dxa" w:w="2125"/>
            <w:shd w:val="clear" w:color="auto" w:fill="FFFFFF"/>
            <w:vAlign w:val="top"/>
          </w:tcPr>
          <w:p>
            <w:pPr>
              <w:spacing w:before="0" w:after="0" w:line="240" w:lineRule="auto"/>
              <w:jc w:val="left"/>
            </w:pPr>
            <w:r>
              <w:rPr>
                <w:rFonts w:ascii="Calibri" w:hAnsi="Calibri" w:cs="Calibri" w:eastAsia="Calibri"/>
                <w:sz w:val="20"/>
              </w:rPr>
              <w:t>Census of active sites</w:t>
            </w:r>
          </w:p>
        </w:tc>
        <w:tc>
          <w:tcPr>
            <w:tcW w:type="dxa" w:w="1630"/>
            <w:shd w:val="clear" w:color="auto" w:fill="FFFFFF"/>
            <w:vAlign w:val="top"/>
          </w:tcPr>
          <w:p>
            <w:pPr>
              <w:spacing w:before="0" w:after="0" w:line="240" w:lineRule="auto"/>
              <w:jc w:val="left"/>
            </w:pPr>
            <w:r>
              <w:rPr>
                <w:rFonts w:ascii="Calibri" w:hAnsi="Calibri" w:cs="Calibri" w:eastAsia="Calibri"/>
                <w:sz w:val="20"/>
              </w:rPr>
              <w:t>Monthly during implementation</w:t>
            </w:r>
          </w:p>
        </w:tc>
        <w:tc>
          <w:tcPr>
            <w:tcW w:type="dxa" w:w="1644"/>
            <w:shd w:val="clear" w:color="auto" w:fill="FFFFFF"/>
            <w:vAlign w:val="top"/>
          </w:tcPr>
          <w:p>
            <w:pPr>
              <w:spacing w:before="0" w:after="0" w:line="240" w:lineRule="auto"/>
              <w:jc w:val="left"/>
            </w:pPr>
            <w:r>
              <w:rPr>
                <w:rFonts w:ascii="Calibri" w:hAnsi="Calibri" w:cs="Calibri" w:eastAsia="Calibri"/>
                <w:sz w:val="20"/>
              </w:rPr>
              <w:t>Program staff with M&amp;E verification</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Training Observation and Post-Test</w:t>
            </w:r>
          </w:p>
        </w:tc>
        <w:tc>
          <w:tcPr>
            <w:tcW w:type="dxa" w:w="2118"/>
            <w:shd w:val="clear" w:color="auto" w:fill="FFFFFF"/>
            <w:vAlign w:val="top"/>
          </w:tcPr>
          <w:p>
            <w:pPr>
              <w:spacing w:before="0" w:after="0" w:line="240" w:lineRule="auto"/>
              <w:jc w:val="left"/>
            </w:pPr>
            <w:r>
              <w:rPr>
                <w:rFonts w:ascii="Calibri" w:hAnsi="Calibri" w:cs="Calibri" w:eastAsia="Calibri"/>
                <w:sz w:val="20"/>
              </w:rPr>
              <w:t>Training participants</w:t>
            </w:r>
          </w:p>
        </w:tc>
        <w:tc>
          <w:tcPr>
            <w:tcW w:type="dxa" w:w="2125"/>
            <w:shd w:val="clear" w:color="auto" w:fill="FFFFFF"/>
            <w:vAlign w:val="top"/>
          </w:tcPr>
          <w:p>
            <w:pPr>
              <w:spacing w:before="0" w:after="0" w:line="240" w:lineRule="auto"/>
              <w:jc w:val="left"/>
            </w:pPr>
            <w:r>
              <w:rPr>
                <w:rFonts w:ascii="Calibri" w:hAnsi="Calibri" w:cs="Calibri" w:eastAsia="Calibri"/>
                <w:sz w:val="20"/>
              </w:rPr>
              <w:t>Census for attendance; 20-30% sample for observation</w:t>
            </w:r>
          </w:p>
        </w:tc>
        <w:tc>
          <w:tcPr>
            <w:tcW w:type="dxa" w:w="1630"/>
            <w:shd w:val="clear" w:color="auto" w:fill="FFFFFF"/>
            <w:vAlign w:val="top"/>
          </w:tcPr>
          <w:p>
            <w:pPr>
              <w:spacing w:before="0" w:after="0" w:line="240" w:lineRule="auto"/>
              <w:jc w:val="left"/>
            </w:pPr>
            <w:r>
              <w:rPr>
                <w:rFonts w:ascii="Calibri" w:hAnsi="Calibri" w:cs="Calibri" w:eastAsia="Calibri"/>
                <w:sz w:val="20"/>
              </w:rPr>
              <w:t>Per training cycle</w:t>
            </w:r>
          </w:p>
        </w:tc>
        <w:tc>
          <w:tcPr>
            <w:tcW w:type="dxa" w:w="1644"/>
            <w:shd w:val="clear" w:color="auto" w:fill="FFFFFF"/>
            <w:vAlign w:val="top"/>
          </w:tcPr>
          <w:p>
            <w:pPr>
              <w:spacing w:before="0" w:after="0" w:line="240" w:lineRule="auto"/>
              <w:jc w:val="left"/>
            </w:pPr>
            <w:r>
              <w:rPr>
                <w:rFonts w:ascii="Calibri" w:hAnsi="Calibri" w:cs="Calibri" w:eastAsia="Calibri"/>
                <w:sz w:val="20"/>
              </w:rPr>
              <w:t>M&amp;E Officer</w:t>
            </w:r>
          </w:p>
        </w:tc>
      </w:tr>
      <w:tr>
        <w:trPr>
          <w:cantSplit/>
        </w:trPr>
        <w:tc>
          <w:tcPr>
            <w:tcW w:type="dxa" w:w="1841"/>
            <w:shd w:val="clear" w:color="auto" w:fill="FFFFFF"/>
            <w:vAlign w:val="top"/>
          </w:tcPr>
          <w:p>
            <w:pPr>
              <w:spacing w:before="0" w:after="0" w:line="240" w:lineRule="auto"/>
              <w:jc w:val="left"/>
            </w:pPr>
            <w:r>
              <w:rPr>
                <w:rFonts w:ascii="Calibri" w:hAnsi="Calibri" w:cs="Calibri" w:eastAsia="Calibri"/>
                <w:sz w:val="20"/>
              </w:rPr>
              <w:t>Routine Monitoring (Service Records)</w:t>
            </w:r>
          </w:p>
        </w:tc>
        <w:tc>
          <w:tcPr>
            <w:tcW w:type="dxa" w:w="2118"/>
            <w:shd w:val="clear" w:color="auto" w:fill="FFFFFF"/>
            <w:vAlign w:val="top"/>
          </w:tcPr>
          <w:p>
            <w:pPr>
              <w:spacing w:before="0" w:after="0" w:line="240" w:lineRule="auto"/>
              <w:jc w:val="left"/>
            </w:pPr>
            <w:r>
              <w:rPr>
                <w:rFonts w:ascii="Calibri" w:hAnsi="Calibri" w:cs="Calibri" w:eastAsia="Calibri"/>
                <w:sz w:val="20"/>
              </w:rPr>
              <w:t>Activity logs, registers, distribution records</w:t>
            </w:r>
          </w:p>
        </w:tc>
        <w:tc>
          <w:tcPr>
            <w:tcW w:type="dxa" w:w="2125"/>
            <w:shd w:val="clear" w:color="auto" w:fill="FFFFFF"/>
            <w:vAlign w:val="top"/>
          </w:tcPr>
          <w:p>
            <w:pPr>
              <w:spacing w:before="0" w:after="0" w:line="240" w:lineRule="auto"/>
              <w:jc w:val="left"/>
            </w:pPr>
            <w:r>
              <w:rPr>
                <w:rFonts w:ascii="Calibri" w:hAnsi="Calibri" w:cs="Calibri" w:eastAsia="Calibri"/>
                <w:sz w:val="20"/>
              </w:rPr>
              <w:t>Census</w:t>
            </w:r>
          </w:p>
        </w:tc>
        <w:tc>
          <w:tcPr>
            <w:tcW w:type="dxa" w:w="1630"/>
            <w:shd w:val="clear" w:color="auto" w:fill="FFFFFF"/>
            <w:vAlign w:val="top"/>
          </w:tcPr>
          <w:p>
            <w:pPr>
              <w:spacing w:before="0" w:after="0" w:line="240" w:lineRule="auto"/>
              <w:jc w:val="left"/>
            </w:pPr>
            <w:r>
              <w:rPr>
                <w:rFonts w:ascii="Calibri" w:hAnsi="Calibri" w:cs="Calibri" w:eastAsia="Calibri"/>
                <w:sz w:val="20"/>
              </w:rPr>
              <w:t>Ongoing (monthly compilation)</w:t>
            </w:r>
          </w:p>
        </w:tc>
        <w:tc>
          <w:tcPr>
            <w:tcW w:type="dxa" w:w="1644"/>
            <w:shd w:val="clear" w:color="auto" w:fill="FFFFFF"/>
            <w:vAlign w:val="top"/>
          </w:tcPr>
          <w:p>
            <w:pPr>
              <w:spacing w:before="0" w:after="0" w:line="240" w:lineRule="auto"/>
              <w:jc w:val="left"/>
            </w:pPr>
            <w:r>
              <w:rPr>
                <w:rFonts w:ascii="Calibri" w:hAnsi="Calibri" w:cs="Calibri" w:eastAsia="Calibri"/>
                <w:sz w:val="20"/>
              </w:rPr>
              <w:t>Program staff with M&amp;E data entry</w:t>
            </w:r>
          </w:p>
        </w:tc>
      </w:tr>
    </w:tbl>
    <w:p>
      <w:pPr>
        <w:spacing w:after="0"/>
      </w:pPr>
    </w:p>
    <w:p>
      <w:r>
        <w:rPr>
          <w:b/>
        </w:rPr>
        <w:t>Data Flow:</w:t>
      </w:r>
      <w:r>
        <w:t xml:space="preserve"> Field data (paper forms, mobile data collection via ODK/KoboToolbox) is collected by enumerators and field monitors, transmitted to the project M&amp;E Officer within 48 hours, cleaned and entered into the project database within one week, analyzed by the M&amp;E Lead monthly for routine monitoring and quarterly for outcome tracking. Survey data undergoes double-entry verification. All datasets are stored on encrypted servers with role-based access. Personally identifiable information is anonymized before analysis and reporting.</w:t>
      </w:r>
    </w:p>
    <w:p>
      <w:r>
        <w:rPr>
          <w:b/>
        </w:rPr>
        <w:t>Data Quality Assurance:</w:t>
      </w:r>
      <w:r>
        <w:t xml:space="preserve"> Internal data quality assessments (DQAs) are conducted quarterly, covering completeness, timeliness, accuracy, and consistency. The M&amp;E Lead conducts spot-check verification of 10% of routine monitoring records against source documents. Survey data is reviewed for logical consistency (range checks, skip pattern compliance) before analysis. An external data quality audit is conducted at midterm.</w:t>
      </w:r>
    </w:p>
    <w:p>
      <w:pPr>
        <w:pStyle w:val="Heading1"/>
      </w:pPr>
      <w:r>
        <w:t>4. Evaluation Plan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354"/>
        <w:gridCol w:w="2620"/>
        <w:gridCol w:w="2386"/>
        <w:gridCol w:w="1610"/>
        <w:gridCol w:w="1390"/>
      </w:tblGrid>
      <w:tr>
        <w:trPr>
          <w:cantSplit/>
          <w:tblHeader/>
        </w:trPr>
        <w:tc>
          <w:tcPr>
            <w:tcW w:type="dxa" w:w="1354"/>
            <w:shd w:val="clear" w:color="auto" w:fill="0B2748"/>
            <w:vAlign w:val="center"/>
          </w:tcPr>
          <w:p>
            <w:pPr>
              <w:spacing w:before="0" w:after="0" w:line="240" w:lineRule="auto"/>
              <w:jc w:val="center"/>
            </w:pPr>
            <w:r>
              <w:rPr>
                <w:rFonts w:ascii="Calibri" w:hAnsi="Calibri" w:cs="Calibri" w:eastAsia="Calibri"/>
                <w:b/>
                <w:color w:val="FFFFFF"/>
                <w:sz w:val="24"/>
              </w:rPr>
              <w:t>Evaluation</w:t>
            </w:r>
          </w:p>
        </w:tc>
        <w:tc>
          <w:tcPr>
            <w:tcW w:type="dxa" w:w="2620"/>
            <w:shd w:val="clear" w:color="auto" w:fill="0B2748"/>
            <w:vAlign w:val="center"/>
          </w:tcPr>
          <w:p>
            <w:pPr>
              <w:spacing w:before="0" w:after="0" w:line="240" w:lineRule="auto"/>
              <w:jc w:val="center"/>
            </w:pPr>
            <w:r>
              <w:rPr>
                <w:rFonts w:ascii="Calibri" w:hAnsi="Calibri" w:cs="Calibri" w:eastAsia="Calibri"/>
                <w:b/>
                <w:color w:val="FFFFFF"/>
                <w:sz w:val="24"/>
              </w:rPr>
              <w:t>Purpose</w:t>
            </w:r>
          </w:p>
        </w:tc>
        <w:tc>
          <w:tcPr>
            <w:tcW w:type="dxa" w:w="2386"/>
            <w:shd w:val="clear" w:color="auto" w:fill="0B2748"/>
            <w:vAlign w:val="center"/>
          </w:tcPr>
          <w:p>
            <w:pPr>
              <w:spacing w:before="0" w:after="0" w:line="240" w:lineRule="auto"/>
              <w:jc w:val="center"/>
            </w:pPr>
            <w:r>
              <w:rPr>
                <w:rFonts w:ascii="Calibri" w:hAnsi="Calibri" w:cs="Calibri" w:eastAsia="Calibri"/>
                <w:b/>
                <w:color w:val="FFFFFF"/>
                <w:sz w:val="24"/>
              </w:rPr>
              <w:t>Design</w:t>
            </w:r>
          </w:p>
        </w:tc>
        <w:tc>
          <w:tcPr>
            <w:tcW w:type="dxa" w:w="1610"/>
            <w:shd w:val="clear" w:color="auto" w:fill="0B2748"/>
            <w:vAlign w:val="center"/>
          </w:tcPr>
          <w:p>
            <w:pPr>
              <w:spacing w:before="0" w:after="0" w:line="240" w:lineRule="auto"/>
              <w:jc w:val="center"/>
            </w:pPr>
            <w:r>
              <w:rPr>
                <w:rFonts w:ascii="Calibri" w:hAnsi="Calibri" w:cs="Calibri" w:eastAsia="Calibri"/>
                <w:b/>
                <w:color w:val="FFFFFF"/>
                <w:sz w:val="24"/>
              </w:rPr>
              <w:t>Timing</w:t>
            </w:r>
          </w:p>
        </w:tc>
        <w:tc>
          <w:tcPr>
            <w:tcW w:type="dxa" w:w="1390"/>
            <w:shd w:val="clear" w:color="auto" w:fill="0B2748"/>
            <w:vAlign w:val="center"/>
          </w:tcPr>
          <w:p>
            <w:pPr>
              <w:spacing w:before="0" w:after="0" w:line="240" w:lineRule="auto"/>
              <w:jc w:val="center"/>
            </w:pPr>
            <w:r>
              <w:rPr>
                <w:rFonts w:ascii="Calibri" w:hAnsi="Calibri" w:cs="Calibri" w:eastAsia="Calibri"/>
                <w:b/>
                <w:color w:val="FFFFFF"/>
                <w:sz w:val="24"/>
              </w:rPr>
              <w:t>Budget</w:t>
            </w:r>
          </w:p>
        </w:tc>
      </w:tr>
      <w:tr>
        <w:trPr>
          <w:cantSplit/>
        </w:trPr>
        <w:tc>
          <w:tcPr>
            <w:tcW w:type="dxa" w:w="1354"/>
            <w:shd w:val="clear" w:color="auto" w:fill="FFFFFF"/>
            <w:vAlign w:val="top"/>
          </w:tcPr>
          <w:p>
            <w:pPr>
              <w:spacing w:before="0" w:after="0" w:line="240" w:lineRule="auto"/>
              <w:jc w:val="left"/>
            </w:pPr>
            <w:r>
              <w:rPr>
                <w:rFonts w:ascii="Calibri" w:hAnsi="Calibri" w:cs="Calibri" w:eastAsia="Calibri"/>
                <w:sz w:val="20"/>
              </w:rPr>
              <w:t>Baseline Assessment</w:t>
            </w:r>
          </w:p>
        </w:tc>
        <w:tc>
          <w:tcPr>
            <w:tcW w:type="dxa" w:w="2620"/>
            <w:shd w:val="clear" w:color="auto" w:fill="FFFFFF"/>
            <w:vAlign w:val="top"/>
          </w:tcPr>
          <w:p>
            <w:pPr>
              <w:spacing w:before="0" w:after="0" w:line="240" w:lineRule="auto"/>
              <w:jc w:val="left"/>
            </w:pPr>
            <w:r>
              <w:rPr>
                <w:rFonts w:ascii="Calibri" w:hAnsi="Calibri" w:cs="Calibri" w:eastAsia="Calibri"/>
                <w:sz w:val="20"/>
              </w:rPr>
              <w:t>Establish pre-intervention values for all outcome and impact indicators; validate assumptions</w:t>
            </w:r>
          </w:p>
        </w:tc>
        <w:tc>
          <w:tcPr>
            <w:tcW w:type="dxa" w:w="2386"/>
            <w:shd w:val="clear" w:color="auto" w:fill="FFFFFF"/>
            <w:vAlign w:val="top"/>
          </w:tcPr>
          <w:p>
            <w:pPr>
              <w:spacing w:before="0" w:after="0" w:line="240" w:lineRule="auto"/>
              <w:jc w:val="left"/>
            </w:pPr>
            <w:r>
              <w:rPr>
                <w:rFonts w:ascii="Calibri" w:hAnsi="Calibri" w:cs="Calibri" w:eastAsia="Calibri"/>
                <w:sz w:val="20"/>
              </w:rPr>
              <w:t>Cross-sectional mixed-methods: quantitative survey + community mapping + qualitative (KIIs/FGDs)</w:t>
            </w:r>
          </w:p>
        </w:tc>
        <w:tc>
          <w:tcPr>
            <w:tcW w:type="dxa" w:w="1610"/>
            <w:shd w:val="clear" w:color="auto" w:fill="FFFFFF"/>
            <w:vAlign w:val="top"/>
          </w:tcPr>
          <w:p>
            <w:pPr>
              <w:spacing w:before="0" w:after="0" w:line="240" w:lineRule="auto"/>
              <w:jc w:val="left"/>
            </w:pPr>
            <w:r>
              <w:rPr>
                <w:rFonts w:ascii="Calibri" w:hAnsi="Calibri" w:cs="Calibri" w:eastAsia="Calibri"/>
                <w:sz w:val="20"/>
              </w:rPr>
              <w:t>Month 1-2, before activities begin</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1354"/>
            <w:shd w:val="clear" w:color="auto" w:fill="FFFFFF"/>
            <w:vAlign w:val="top"/>
          </w:tcPr>
          <w:p>
            <w:pPr>
              <w:spacing w:before="0" w:after="0" w:line="240" w:lineRule="auto"/>
              <w:jc w:val="left"/>
            </w:pPr>
            <w:r>
              <w:rPr>
                <w:rFonts w:ascii="Calibri" w:hAnsi="Calibri" w:cs="Calibri" w:eastAsia="Calibri"/>
                <w:sz w:val="20"/>
              </w:rPr>
              <w:t>Mid-Term Review</w:t>
            </w:r>
          </w:p>
        </w:tc>
        <w:tc>
          <w:tcPr>
            <w:tcW w:type="dxa" w:w="2620"/>
            <w:shd w:val="clear" w:color="auto" w:fill="FFFFFF"/>
            <w:vAlign w:val="top"/>
          </w:tcPr>
          <w:p>
            <w:pPr>
              <w:spacing w:before="0" w:after="0" w:line="240" w:lineRule="auto"/>
              <w:jc w:val="left"/>
            </w:pPr>
            <w:r>
              <w:rPr>
                <w:rFonts w:ascii="Calibri" w:hAnsi="Calibri" w:cs="Calibri" w:eastAsia="Calibri"/>
                <w:sz w:val="20"/>
              </w:rPr>
              <w:t>Assess implementation progress; identify course corrections; verify ToC assumptions</w:t>
            </w:r>
          </w:p>
        </w:tc>
        <w:tc>
          <w:tcPr>
            <w:tcW w:type="dxa" w:w="2386"/>
            <w:shd w:val="clear" w:color="auto" w:fill="FFFFFF"/>
            <w:vAlign w:val="top"/>
          </w:tcPr>
          <w:p>
            <w:pPr>
              <w:spacing w:before="0" w:after="0" w:line="240" w:lineRule="auto"/>
              <w:jc w:val="left"/>
            </w:pPr>
            <w:r>
              <w:rPr>
                <w:rFonts w:ascii="Calibri" w:hAnsi="Calibri" w:cs="Calibri" w:eastAsia="Calibri"/>
                <w:sz w:val="20"/>
              </w:rPr>
              <w:t>Mixed methods: quantitative survey + KIIs with stakeholders + FGDs with beneficiaries + routine monitoring data analysis</w:t>
            </w:r>
          </w:p>
        </w:tc>
        <w:tc>
          <w:tcPr>
            <w:tcW w:type="dxa" w:w="1610"/>
            <w:shd w:val="clear" w:color="auto" w:fill="FFFFFF"/>
            <w:vAlign w:val="top"/>
          </w:tcPr>
          <w:p>
            <w:pPr>
              <w:spacing w:before="0" w:after="0" w:line="240" w:lineRule="auto"/>
              <w:jc w:val="left"/>
            </w:pPr>
            <w:r>
              <w:rPr>
                <w:rFonts w:ascii="Calibri" w:hAnsi="Calibri" w:cs="Calibri" w:eastAsia="Calibri"/>
                <w:sz w:val="20"/>
              </w:rPr>
              <w:t xml:space="preserve">Month </w:t>
            </w:r>
            <w:r>
              <w:rPr>
                <w:rFonts w:ascii="Calibri" w:hAnsi="Calibri" w:cs="Calibri" w:eastAsia="Calibri"/>
                <w:sz w:val="20"/>
                <w:shd w:val="clear" w:color="auto" w:fill="FFF3CD"/>
              </w:rPr>
              <w:t xml:space="preserve">[CUSTOMIZE: midpoint]</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1354"/>
            <w:shd w:val="clear" w:color="auto" w:fill="FFFFFF"/>
            <w:vAlign w:val="top"/>
          </w:tcPr>
          <w:p>
            <w:pPr>
              <w:spacing w:before="0" w:after="0" w:line="240" w:lineRule="auto"/>
              <w:jc w:val="left"/>
            </w:pPr>
            <w:r>
              <w:rPr>
                <w:rFonts w:ascii="Calibri" w:hAnsi="Calibri" w:cs="Calibri" w:eastAsia="Calibri"/>
                <w:sz w:val="20"/>
              </w:rPr>
              <w:t>Endline Evaluation</w:t>
            </w:r>
          </w:p>
        </w:tc>
        <w:tc>
          <w:tcPr>
            <w:tcW w:type="dxa" w:w="2620"/>
            <w:shd w:val="clear" w:color="auto" w:fill="FFFFFF"/>
            <w:vAlign w:val="top"/>
          </w:tcPr>
          <w:p>
            <w:pPr>
              <w:spacing w:before="0" w:after="0" w:line="240" w:lineRule="auto"/>
              <w:jc w:val="left"/>
            </w:pPr>
            <w:r>
              <w:rPr>
                <w:rFonts w:ascii="Calibri" w:hAnsi="Calibri" w:cs="Calibri" w:eastAsia="Calibri"/>
                <w:sz w:val="20"/>
              </w:rPr>
              <w:t>Measure outcome achievement; assess sustainability prospects; document lessons learned</w:t>
            </w:r>
          </w:p>
        </w:tc>
        <w:tc>
          <w:tcPr>
            <w:tcW w:type="dxa" w:w="2386"/>
            <w:shd w:val="clear" w:color="auto" w:fill="FFFFFF"/>
            <w:vAlign w:val="top"/>
          </w:tcPr>
          <w:p>
            <w:pPr>
              <w:spacing w:before="0" w:after="0" w:line="240" w:lineRule="auto"/>
              <w:jc w:val="left"/>
            </w:pPr>
            <w:r>
              <w:rPr>
                <w:rFonts w:ascii="Calibri" w:hAnsi="Calibri" w:cs="Calibri" w:eastAsia="Calibri"/>
                <w:sz w:val="20"/>
              </w:rPr>
              <w:t>Cross-sectional survey (same methodology as baseline) + qualitative methods + program records review</w:t>
            </w:r>
          </w:p>
        </w:tc>
        <w:tc>
          <w:tcPr>
            <w:tcW w:type="dxa" w:w="1610"/>
            <w:shd w:val="clear" w:color="auto" w:fill="FFFFFF"/>
            <w:vAlign w:val="top"/>
          </w:tcPr>
          <w:p>
            <w:pPr>
              <w:spacing w:before="0" w:after="0" w:line="240" w:lineRule="auto"/>
              <w:jc w:val="left"/>
            </w:pPr>
            <w:r>
              <w:rPr>
                <w:rFonts w:ascii="Calibri" w:hAnsi="Calibri" w:cs="Calibri" w:eastAsia="Calibri"/>
                <w:sz w:val="20"/>
              </w:rPr>
              <w:t xml:space="preserve">Month </w:t>
            </w:r>
            <w:r>
              <w:rPr>
                <w:rFonts w:ascii="Calibri" w:hAnsi="Calibri" w:cs="Calibri" w:eastAsia="Calibri"/>
                <w:sz w:val="20"/>
                <w:shd w:val="clear" w:color="auto" w:fill="FFF3CD"/>
              </w:rPr>
              <w:t xml:space="preserve">[CUSTOMIZE: final month]</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1354"/>
            <w:shd w:val="clear" w:color="auto" w:fill="FFFFFF"/>
            <w:vAlign w:val="top"/>
          </w:tcPr>
          <w:p>
            <w:pPr>
              <w:spacing w:before="0" w:after="0" w:line="240" w:lineRule="auto"/>
              <w:jc w:val="left"/>
            </w:pPr>
            <w:r>
              <w:rPr>
                <w:rFonts w:ascii="Calibri" w:hAnsi="Calibri" w:cs="Calibri" w:eastAsia="Calibri"/>
                <w:sz w:val="20"/>
              </w:rPr>
              <w:t>Process Evaluation</w:t>
            </w:r>
          </w:p>
        </w:tc>
        <w:tc>
          <w:tcPr>
            <w:tcW w:type="dxa" w:w="2620"/>
            <w:shd w:val="clear" w:color="auto" w:fill="FFFFFF"/>
            <w:vAlign w:val="top"/>
          </w:tcPr>
          <w:p>
            <w:pPr>
              <w:spacing w:before="0" w:after="0" w:line="240" w:lineRule="auto"/>
              <w:jc w:val="left"/>
            </w:pPr>
            <w:r>
              <w:rPr>
                <w:rFonts w:ascii="Calibri" w:hAnsi="Calibri" w:cs="Calibri" w:eastAsia="Calibri"/>
                <w:sz w:val="20"/>
              </w:rPr>
              <w:t>Assess implementation fidelity; identify bottlenecks; understand contextual factors</w:t>
            </w:r>
          </w:p>
        </w:tc>
        <w:tc>
          <w:tcPr>
            <w:tcW w:type="dxa" w:w="2386"/>
            <w:shd w:val="clear" w:color="auto" w:fill="FFFFFF"/>
            <w:vAlign w:val="top"/>
          </w:tcPr>
          <w:p>
            <w:pPr>
              <w:spacing w:before="0" w:after="0" w:line="240" w:lineRule="auto"/>
              <w:jc w:val="left"/>
            </w:pPr>
            <w:r>
              <w:rPr>
                <w:rFonts w:ascii="Calibri" w:hAnsi="Calibri" w:cs="Calibri" w:eastAsia="Calibri"/>
                <w:sz w:val="20"/>
              </w:rPr>
              <w:t>Qualitative: KIIs with staff/partners, activity observation, supervision reports review, community feedback</w:t>
            </w:r>
          </w:p>
        </w:tc>
        <w:tc>
          <w:tcPr>
            <w:tcW w:type="dxa" w:w="1610"/>
            <w:shd w:val="clear" w:color="auto" w:fill="FFFFFF"/>
            <w:vAlign w:val="top"/>
          </w:tcPr>
          <w:p>
            <w:pPr>
              <w:spacing w:before="0" w:after="0" w:line="240" w:lineRule="auto"/>
              <w:jc w:val="left"/>
            </w:pPr>
            <w:r>
              <w:rPr>
                <w:rFonts w:ascii="Calibri" w:hAnsi="Calibri" w:cs="Calibri" w:eastAsia="Calibri"/>
                <w:sz w:val="20"/>
              </w:rPr>
              <w:t>Ongoing, formal synthesis at midterm</w:t>
            </w:r>
          </w:p>
        </w:tc>
        <w:tc>
          <w:tcPr>
            <w:tcW w:type="dxa" w:w="1390"/>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bl>
    <w:p>
      <w:pPr>
        <w:spacing w:after="0"/>
      </w:pPr>
    </w:p>
    <w:p>
      <w:r>
        <w:rPr>
          <w:b/>
        </w:rPr>
        <w:t>Evaluation Standards:</w:t>
      </w:r>
      <w:r>
        <w:t xml:space="preserve"> All evaluations will follow OECD-DAC criteria (relevance, coherence, effectiveness, efficiency, impact, sustainability) and comply with UNEG ethical guidelines. External evaluations will be conducted by independent evaluators with no conflict of interest. Baseline and endline surveys will use identical sampling frames and instruments to enable comparison.</w:t>
      </w:r>
    </w:p>
    <w:p>
      <w:pPr>
        <w:pStyle w:val="Heading1"/>
      </w:pPr>
      <w:r>
        <w:t>5. Learning Agenda</w:t>
      </w:r>
    </w:p>
    <w:p>
      <w:r>
        <w:t>The following learning questions will guide adaptive management throughout the program: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618"/>
        <w:gridCol w:w="7741"/>
      </w:tblGrid>
      <w:tr>
        <w:trPr>
          <w:cantSplit/>
          <w:tblHeader/>
        </w:trPr>
        <w:tc>
          <w:tcPr>
            <w:tcW w:type="dxa" w:w="1618"/>
            <w:shd w:val="clear" w:color="auto" w:fill="0B2748"/>
            <w:vAlign w:val="center"/>
          </w:tcPr>
          <w:p>
            <w:pPr>
              <w:spacing w:before="0" w:after="0" w:line="240" w:lineRule="auto"/>
              <w:jc w:val="center"/>
            </w:pPr>
            <w:r>
              <w:rPr>
                <w:rFonts w:ascii="Calibri" w:hAnsi="Calibri" w:cs="Calibri" w:eastAsia="Calibri"/>
                <w:b/>
                <w:color w:val="FFFFFF"/>
                <w:sz w:val="24"/>
              </w:rPr>
              <w:t>ID</w:t>
            </w:r>
          </w:p>
        </w:tc>
        <w:tc>
          <w:tcPr>
            <w:tcW w:type="dxa" w:w="7741"/>
            <w:shd w:val="clear" w:color="auto" w:fill="0B2748"/>
            <w:vAlign w:val="center"/>
          </w:tcPr>
          <w:p>
            <w:pPr>
              <w:spacing w:before="0" w:after="0" w:line="240" w:lineRule="auto"/>
              <w:jc w:val="center"/>
            </w:pPr>
            <w:r>
              <w:rPr>
                <w:rFonts w:ascii="Calibri" w:hAnsi="Calibri" w:cs="Calibri" w:eastAsia="Calibri"/>
                <w:b/>
                <w:color w:val="FFFFFF"/>
                <w:sz w:val="24"/>
              </w:rPr>
              <w:t>Learning Question</w:t>
            </w:r>
          </w:p>
        </w:tc>
      </w:tr>
      <w:tr>
        <w:trPr>
          <w:cantSplit/>
        </w:trPr>
        <w:tc>
          <w:tcPr>
            <w:tcW w:type="dxa" w:w="1618"/>
            <w:shd w:val="clear" w:color="auto" w:fill="FFFFFF"/>
            <w:vAlign w:val="top"/>
          </w:tcPr>
          <w:p>
            <w:pPr>
              <w:spacing w:before="0" w:after="0" w:line="240" w:lineRule="auto"/>
              <w:jc w:val="left"/>
            </w:pPr>
            <w:r>
              <w:rPr>
                <w:rFonts w:ascii="Calibri" w:hAnsi="Calibri" w:cs="Calibri" w:eastAsia="Calibri"/>
                <w:sz w:val="20"/>
              </w:rPr>
              <w:t>LQ1</w:t>
            </w:r>
          </w:p>
        </w:tc>
        <w:tc>
          <w:tcPr>
            <w:tcW w:type="dxa" w:w="7741"/>
            <w:shd w:val="clear" w:color="auto" w:fill="FFFFFF"/>
            <w:vAlign w:val="top"/>
          </w:tcPr>
          <w:p>
            <w:pPr>
              <w:spacing w:before="0" w:after="0" w:line="240" w:lineRule="auto"/>
              <w:jc w:val="left"/>
            </w:pPr>
            <w:r>
              <w:rPr>
                <w:rFonts w:ascii="Calibri" w:hAnsi="Calibri" w:cs="Calibri" w:eastAsia="Calibri"/>
                <w:sz w:val="20"/>
              </w:rPr>
              <w:t>What factors most influence use of improved drinking water sources among target populations, and how do contextual factors affect uptake across community types?</w:t>
            </w:r>
          </w:p>
        </w:tc>
      </w:tr>
      <w:tr>
        <w:trPr>
          <w:cantSplit/>
        </w:trPr>
        <w:tc>
          <w:tcPr>
            <w:tcW w:type="dxa" w:w="1618"/>
            <w:shd w:val="clear" w:color="auto" w:fill="FFFFFF"/>
            <w:vAlign w:val="top"/>
          </w:tcPr>
          <w:p>
            <w:pPr>
              <w:spacing w:before="0" w:after="0" w:line="240" w:lineRule="auto"/>
              <w:jc w:val="left"/>
            </w:pPr>
            <w:r>
              <w:rPr>
                <w:rFonts w:ascii="Calibri" w:hAnsi="Calibri" w:cs="Calibri" w:eastAsia="Calibri"/>
                <w:sz w:val="20"/>
              </w:rPr>
              <w:t>LQ2</w:t>
            </w:r>
          </w:p>
        </w:tc>
        <w:tc>
          <w:tcPr>
            <w:tcW w:type="dxa" w:w="7741"/>
            <w:shd w:val="clear" w:color="auto" w:fill="FFFFFF"/>
            <w:vAlign w:val="top"/>
          </w:tcPr>
          <w:p>
            <w:pPr>
              <w:spacing w:before="0" w:after="0" w:line="240" w:lineRule="auto"/>
              <w:jc w:val="left"/>
            </w:pPr>
            <w:r>
              <w:rPr>
                <w:rFonts w:ascii="Calibri" w:hAnsi="Calibri" w:cs="Calibri" w:eastAsia="Calibri"/>
                <w:sz w:val="20"/>
              </w:rPr>
              <w:t>How does the effectiveness and sustainability of New Water Point Construction compare to Water Point Rehabilitation over 12-24 months, and what factors drive sustained outcomes after program support ends?</w:t>
            </w:r>
          </w:p>
        </w:tc>
      </w:tr>
      <w:tr>
        <w:trPr>
          <w:cantSplit/>
        </w:trPr>
        <w:tc>
          <w:tcPr>
            <w:tcW w:type="dxa" w:w="1618"/>
            <w:shd w:val="clear" w:color="auto" w:fill="FFFFFF"/>
            <w:vAlign w:val="top"/>
          </w:tcPr>
          <w:p>
            <w:pPr>
              <w:spacing w:before="0" w:after="0" w:line="240" w:lineRule="auto"/>
              <w:jc w:val="left"/>
            </w:pPr>
            <w:r>
              <w:rPr>
                <w:rFonts w:ascii="Calibri" w:hAnsi="Calibri" w:cs="Calibri" w:eastAsia="Calibri"/>
                <w:sz w:val="20"/>
              </w:rPr>
              <w:t>LQ3</w:t>
            </w:r>
          </w:p>
        </w:tc>
        <w:tc>
          <w:tcPr>
            <w:tcW w:type="dxa" w:w="7741"/>
            <w:shd w:val="clear" w:color="auto" w:fill="FFFFFF"/>
            <w:vAlign w:val="top"/>
          </w:tcPr>
          <w:p>
            <w:pPr>
              <w:spacing w:before="0" w:after="0" w:line="240" w:lineRule="auto"/>
              <w:jc w:val="left"/>
            </w:pPr>
            <w:r>
              <w:rPr>
                <w:rFonts w:ascii="Calibri" w:hAnsi="Calibri" w:cs="Calibri" w:eastAsia="Calibri"/>
                <w:sz w:val="20"/>
              </w:rPr>
              <w:t>What implementation adaptations were made during the program, which adaptations improved outcomes, and what are the implications for program design in similar contexts?</w:t>
            </w:r>
          </w:p>
        </w:tc>
      </w:tr>
    </w:tbl>
    <w:p>
      <w:pPr>
        <w:spacing w:after="0"/>
      </w:pPr>
    </w:p>
    <w:p>
      <w:pPr>
        <w:keepNext/>
        <w:spacing w:after="80"/>
      </w:pPr>
      <w:r>
        <w:rPr>
          <w:b/>
        </w:rPr>
        <w:t>Learning Processes:</w:t>
      </w:r>
    </w:p>
    <w:p>
      <w:pPr>
        <w:pStyle w:val="ListBullet"/>
      </w:pPr>
      <w:r>
        <w:rPr>
          <w:b/>
        </w:rPr>
        <w:t>Monthly reflection meetings:</w:t>
      </w:r>
      <w:r>
        <w:t xml:space="preserve"> Program team reviews routine monitoring data, identifies implementation challenges, and documents adaptive management decisions</w:t>
      </w:r>
    </w:p>
    <w:p>
      <w:pPr>
        <w:pStyle w:val="ListBullet"/>
      </w:pPr>
      <w:r>
        <w:rPr>
          <w:b/>
        </w:rPr>
        <w:t>Quarterly learning reviews:</w:t>
      </w:r>
      <w:r>
        <w:t xml:space="preserve"> Broader stakeholder group reviews outcome-level data trends, discusses emerging learning, and adjusts programming as needed</w:t>
      </w:r>
    </w:p>
    <w:p>
      <w:pPr>
        <w:pStyle w:val="ListBullet"/>
      </w:pPr>
      <w:r>
        <w:rPr>
          <w:b/>
        </w:rPr>
        <w:t>After-action reviews:</w:t>
      </w:r>
      <w:r>
        <w:t xml:space="preserve"> Conducted after each major implementation phase to capture operational lessons</w:t>
      </w:r>
    </w:p>
    <w:p>
      <w:pPr>
        <w:pStyle w:val="ListBullet"/>
      </w:pPr>
      <w:r>
        <w:rPr>
          <w:b/>
        </w:rPr>
        <w:t>Learning briefs:</w:t>
      </w:r>
      <w:r>
        <w:t xml:space="preserve"> Quarterly 2-page summaries of key findings and adaptations, shared with donor and partners</w:t>
      </w:r>
    </w:p>
    <w:p>
      <w:pPr>
        <w:pStyle w:val="ListBullet"/>
      </w:pPr>
      <w:r>
        <w:rPr>
          <w:b/>
        </w:rPr>
        <w:t>Final learning report:</w:t>
      </w:r>
      <w:r>
        <w:t xml:space="preserve"> Comprehensive synthesis of all learning questions, adaptive management decisions, and recommendations for future programming</w:t>
      </w:r>
    </w:p>
    <w:p>
      <w:pPr>
        <w:pStyle w:val="Heading1"/>
      </w:pPr>
      <w:r>
        <w:t>6. MEL Roles and Responsibilities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569"/>
        <w:gridCol w:w="6790"/>
      </w:tblGrid>
      <w:tr>
        <w:trPr>
          <w:cantSplit/>
          <w:tblHeader/>
        </w:trPr>
        <w:tc>
          <w:tcPr>
            <w:tcW w:type="dxa" w:w="2569"/>
            <w:shd w:val="clear" w:color="auto" w:fill="0B2748"/>
            <w:vAlign w:val="center"/>
          </w:tcPr>
          <w:p>
            <w:pPr>
              <w:spacing w:before="0" w:after="0" w:line="240" w:lineRule="auto"/>
              <w:jc w:val="center"/>
            </w:pPr>
            <w:r>
              <w:rPr>
                <w:rFonts w:ascii="Calibri" w:hAnsi="Calibri" w:cs="Calibri" w:eastAsia="Calibri"/>
                <w:b/>
                <w:color w:val="FFFFFF"/>
                <w:sz w:val="24"/>
              </w:rPr>
              <w:t>Role</w:t>
            </w:r>
          </w:p>
        </w:tc>
        <w:tc>
          <w:tcPr>
            <w:tcW w:type="dxa" w:w="6790"/>
            <w:shd w:val="clear" w:color="auto" w:fill="0B2748"/>
            <w:vAlign w:val="center"/>
          </w:tcPr>
          <w:p>
            <w:pPr>
              <w:spacing w:before="0" w:after="0" w:line="240" w:lineRule="auto"/>
              <w:jc w:val="center"/>
            </w:pPr>
            <w:r>
              <w:rPr>
                <w:rFonts w:ascii="Calibri" w:hAnsi="Calibri" w:cs="Calibri" w:eastAsia="Calibri"/>
                <w:b/>
                <w:color w:val="FFFFFF"/>
                <w:sz w:val="24"/>
              </w:rPr>
              <w:t>Responsibility</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MEL Director / Manager</w:t>
            </w:r>
          </w:p>
        </w:tc>
        <w:tc>
          <w:tcPr>
            <w:tcW w:type="dxa" w:w="6790"/>
            <w:shd w:val="clear" w:color="auto" w:fill="FFFFFF"/>
            <w:vAlign w:val="top"/>
          </w:tcPr>
          <w:p>
            <w:pPr>
              <w:spacing w:before="0" w:after="0" w:line="240" w:lineRule="auto"/>
              <w:jc w:val="left"/>
            </w:pPr>
            <w:r>
              <w:rPr>
                <w:rFonts w:ascii="Calibri" w:hAnsi="Calibri" w:cs="Calibri" w:eastAsia="Calibri"/>
                <w:sz w:val="20"/>
              </w:rPr>
              <w:t>Overall MEL system design and quality assurance; evaluation management; donor reporting on MEL; learning agenda facilitation; DQA oversight</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M&amp;E Officer(S)</w:t>
            </w:r>
          </w:p>
        </w:tc>
        <w:tc>
          <w:tcPr>
            <w:tcW w:type="dxa" w:w="6790"/>
            <w:shd w:val="clear" w:color="auto" w:fill="FFFFFF"/>
            <w:vAlign w:val="top"/>
          </w:tcPr>
          <w:p>
            <w:pPr>
              <w:spacing w:before="0" w:after="0" w:line="240" w:lineRule="auto"/>
              <w:jc w:val="left"/>
            </w:pPr>
            <w:r>
              <w:rPr>
                <w:rFonts w:ascii="Calibri" w:hAnsi="Calibri" w:cs="Calibri" w:eastAsia="Calibri"/>
                <w:sz w:val="20"/>
              </w:rPr>
              <w:t>Data collection coordination; enumerator supervision and training; routine data cleaning and entry; monthly monitoring report preparation; field-level DQA</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Data Manager</w:t>
            </w:r>
          </w:p>
        </w:tc>
        <w:tc>
          <w:tcPr>
            <w:tcW w:type="dxa" w:w="6790"/>
            <w:shd w:val="clear" w:color="auto" w:fill="FFFFFF"/>
            <w:vAlign w:val="top"/>
          </w:tcPr>
          <w:p>
            <w:pPr>
              <w:spacing w:before="0" w:after="0" w:line="240" w:lineRule="auto"/>
              <w:jc w:val="left"/>
            </w:pPr>
            <w:r>
              <w:rPr>
                <w:rFonts w:ascii="Calibri" w:hAnsi="Calibri" w:cs="Calibri" w:eastAsia="Calibri"/>
                <w:sz w:val="20"/>
              </w:rPr>
              <w:t>Database management (KoboToolbox/ODK server); data cleaning and analysis; dashboard maintenance; data security and access control</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WASH Program Manager</w:t>
            </w:r>
          </w:p>
        </w:tc>
        <w:tc>
          <w:tcPr>
            <w:tcW w:type="dxa" w:w="6790"/>
            <w:shd w:val="clear" w:color="auto" w:fill="FFFFFF"/>
            <w:vAlign w:val="top"/>
          </w:tcPr>
          <w:p>
            <w:pPr>
              <w:spacing w:before="0" w:after="0" w:line="240" w:lineRule="auto"/>
              <w:jc w:val="left"/>
            </w:pPr>
            <w:r>
              <w:rPr>
                <w:rFonts w:ascii="Calibri" w:hAnsi="Calibri" w:cs="Calibri" w:eastAsia="Calibri"/>
                <w:sz w:val="20"/>
              </w:rPr>
              <w:t>Data use for operational decision-making; activity monitoring; progress reporting; participation in learning reviews</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Field Monitors / Enumerators</w:t>
            </w:r>
          </w:p>
        </w:tc>
        <w:tc>
          <w:tcPr>
            <w:tcW w:type="dxa" w:w="6790"/>
            <w:shd w:val="clear" w:color="auto" w:fill="FFFFFF"/>
            <w:vAlign w:val="top"/>
          </w:tcPr>
          <w:p>
            <w:pPr>
              <w:spacing w:before="0" w:after="0" w:line="240" w:lineRule="auto"/>
              <w:jc w:val="left"/>
            </w:pPr>
            <w:r>
              <w:rPr>
                <w:rFonts w:ascii="Calibri" w:hAnsi="Calibri" w:cs="Calibri" w:eastAsia="Calibri"/>
                <w:sz w:val="20"/>
              </w:rPr>
              <w:t>Primary data collection (surveys, spot-checks, observations); quality checks at point of collection; community-level feedback collection</w:t>
            </w:r>
          </w:p>
        </w:tc>
      </w:tr>
      <w:tr>
        <w:trPr>
          <w:cantSplit/>
        </w:trPr>
        <w:tc>
          <w:tcPr>
            <w:tcW w:type="dxa" w:w="2569"/>
            <w:shd w:val="clear" w:color="auto" w:fill="FFFFFF"/>
            <w:vAlign w:val="top"/>
          </w:tcPr>
          <w:p>
            <w:pPr>
              <w:spacing w:before="0" w:after="0" w:line="240" w:lineRule="auto"/>
              <w:jc w:val="left"/>
            </w:pPr>
            <w:r>
              <w:rPr>
                <w:rFonts w:ascii="Calibri" w:hAnsi="Calibri" w:cs="Calibri" w:eastAsia="Calibri"/>
                <w:sz w:val="20"/>
              </w:rPr>
              <w:t>WASH Engineer</w:t>
            </w:r>
          </w:p>
        </w:tc>
        <w:tc>
          <w:tcPr>
            <w:tcW w:type="dxa" w:w="6790"/>
            <w:shd w:val="clear" w:color="auto" w:fill="FFFFFF"/>
            <w:vAlign w:val="top"/>
          </w:tcPr>
          <w:p>
            <w:pPr>
              <w:spacing w:before="0" w:after="0" w:line="240" w:lineRule="auto"/>
              <w:jc w:val="left"/>
            </w:pPr>
            <w:r>
              <w:rPr>
                <w:rFonts w:ascii="Calibri" w:hAnsi="Calibri" w:cs="Calibri" w:eastAsia="Calibri"/>
                <w:sz w:val="20"/>
              </w:rPr>
              <w:t>Water quality testing; construction supervision data; technical assessment documentation; GPS mapping</w:t>
            </w:r>
          </w:p>
        </w:tc>
      </w:tr>
    </w:tbl>
    <w:p>
      <w:pPr>
        <w:spacing w:after="0"/>
      </w:pPr>
    </w:p>
    <w:p>
      <w:r>
        <w:rPr>
          <w:b/>
        </w:rPr>
        <w:t>Capacity Building:</w:t>
      </w:r>
      <w:r>
        <w:t xml:space="preserve"> M&amp;E staff receive training on mobile data collection tools, data quality standards, and basic data analysis at project inception. Field enumerators receive 3-day training before each survey round, including informed consent procedures, interviewing techniques, and data quality protocols. Refresher training is provided annually.</w:t>
      </w:r>
    </w:p>
    <w:p>
      <w:pPr>
        <w:pStyle w:val="Heading1"/>
      </w:pPr>
      <w:r>
        <w:t>7. MEL Budget Summary</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2"/>
        <w:gridCol w:w="1479"/>
        <w:gridCol w:w="1479"/>
        <w:gridCol w:w="1479"/>
        <w:gridCol w:w="1599"/>
      </w:tblGrid>
      <w:tr>
        <w:trPr>
          <w:cantSplit/>
          <w:tblHeader/>
        </w:trPr>
        <w:tc>
          <w:tcPr>
            <w:tcW w:type="dxa" w:w="3322"/>
            <w:shd w:val="clear" w:color="auto" w:fill="0B2748"/>
            <w:vAlign w:val="center"/>
          </w:tcPr>
          <w:p>
            <w:pPr>
              <w:spacing w:before="0" w:after="0" w:line="240" w:lineRule="auto"/>
              <w:jc w:val="center"/>
            </w:pPr>
            <w:r>
              <w:rPr>
                <w:rFonts w:ascii="Calibri" w:hAnsi="Calibri" w:cs="Calibri" w:eastAsia="Calibri"/>
                <w:b/>
                <w:color w:val="FFFFFF"/>
                <w:sz w:val="24"/>
              </w:rPr>
              <w:t>Budget Line</w:t>
            </w:r>
          </w:p>
        </w:tc>
        <w:tc>
          <w:tcPr>
            <w:tcW w:type="dxa" w:w="1479"/>
            <w:shd w:val="clear" w:color="auto" w:fill="0B2748"/>
            <w:vAlign w:val="center"/>
          </w:tcPr>
          <w:p>
            <w:pPr>
              <w:spacing w:before="0" w:after="0" w:line="240" w:lineRule="auto"/>
              <w:jc w:val="center"/>
            </w:pPr>
            <w:r>
              <w:rPr>
                <w:rFonts w:ascii="Calibri" w:hAnsi="Calibri" w:cs="Calibri" w:eastAsia="Calibri"/>
                <w:b/>
                <w:color w:val="FFFFFF"/>
                <w:sz w:val="24"/>
              </w:rPr>
              <w:t>Year 1</w:t>
            </w:r>
          </w:p>
        </w:tc>
        <w:tc>
          <w:tcPr>
            <w:tcW w:type="dxa" w:w="1479"/>
            <w:shd w:val="clear" w:color="auto" w:fill="0B2748"/>
            <w:vAlign w:val="center"/>
          </w:tcPr>
          <w:p>
            <w:pPr>
              <w:spacing w:before="0" w:after="0" w:line="240" w:lineRule="auto"/>
              <w:jc w:val="center"/>
            </w:pPr>
            <w:r>
              <w:rPr>
                <w:rFonts w:ascii="Calibri" w:hAnsi="Calibri" w:cs="Calibri" w:eastAsia="Calibri"/>
                <w:b/>
                <w:color w:val="FFFFFF"/>
                <w:sz w:val="24"/>
              </w:rPr>
              <w:t>Year 2</w:t>
            </w:r>
          </w:p>
        </w:tc>
        <w:tc>
          <w:tcPr>
            <w:tcW w:type="dxa" w:w="1479"/>
            <w:shd w:val="clear" w:color="auto" w:fill="0B2748"/>
            <w:vAlign w:val="center"/>
          </w:tcPr>
          <w:p>
            <w:pPr>
              <w:spacing w:before="0" w:after="0" w:line="240" w:lineRule="auto"/>
              <w:jc w:val="center"/>
            </w:pPr>
            <w:r>
              <w:rPr>
                <w:rFonts w:ascii="Calibri" w:hAnsi="Calibri" w:cs="Calibri" w:eastAsia="Calibri"/>
                <w:b/>
                <w:color w:val="FFFFFF"/>
                <w:sz w:val="24"/>
              </w:rPr>
              <w:t>Year 3</w:t>
            </w:r>
          </w:p>
        </w:tc>
        <w:tc>
          <w:tcPr>
            <w:tcW w:type="dxa" w:w="1599"/>
            <w:shd w:val="clear" w:color="auto" w:fill="0B2748"/>
            <w:vAlign w:val="center"/>
          </w:tcPr>
          <w:p>
            <w:pPr>
              <w:spacing w:before="0" w:after="0" w:line="240" w:lineRule="auto"/>
              <w:jc w:val="center"/>
            </w:pPr>
            <w:r>
              <w:rPr>
                <w:rFonts w:ascii="Calibri" w:hAnsi="Calibri" w:cs="Calibri" w:eastAsia="Calibri"/>
                <w:b/>
                <w:color w:val="FFFFFF"/>
                <w:sz w:val="24"/>
              </w:rPr>
              <w:t>Total</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MEL Staff (Salaries and Benefits)</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Baseline Survey (Enumerators, Transport, Data Entry)</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Mid-Term Review (Internal + External Consultant)</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Endline Evaluation (External Evaluator, Enumerators)</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479"/>
            <w:shd w:val="clear" w:color="auto" w:fill="FFFFFF"/>
            <w:vAlign w:val="top"/>
          </w:tcPr>
          <w:p>
            <w:pPr>
              <w:spacing w:before="0" w:after="0" w:line="240" w:lineRule="auto"/>
              <w:jc w:val="left"/>
            </w:pPr>
            <w:r>
              <w:rPr>
                <w:rFonts w:ascii="Calibri" w:hAnsi="Calibri" w:cs="Calibri" w:eastAsia="Calibri"/>
                <w:sz w:val="20"/>
              </w:rPr>
              <w:t>n/a</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Routine Data Collection (transport, per diem, supplies)</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Water Quality Testing (lab fees, test kits, reagents)</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Data Systems and Technology (KoboToolbox, tablets, server)</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Training and Capacity Building (enumerator training, staff development)</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r>
        <w:trPr>
          <w:cantSplit/>
        </w:trPr>
        <w:tc>
          <w:tcPr>
            <w:tcW w:type="dxa" w:w="3322"/>
            <w:shd w:val="clear" w:color="auto" w:fill="FFFFFF"/>
            <w:vAlign w:val="top"/>
          </w:tcPr>
          <w:p>
            <w:pPr>
              <w:spacing w:before="0" w:after="0" w:line="240" w:lineRule="auto"/>
              <w:jc w:val="left"/>
            </w:pPr>
            <w:r>
              <w:rPr>
                <w:rFonts w:ascii="Calibri" w:hAnsi="Calibri" w:cs="Calibri" w:eastAsia="Calibri"/>
                <w:sz w:val="20"/>
              </w:rPr>
              <w:t>Total MEL Budget</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47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c>
          <w:tcPr>
            <w:tcW w:type="dxa" w:w="1599"/>
            <w:shd w:val="clear" w:color="auto" w:fill="FFFFFF"/>
            <w:vAlign w:val="top"/>
          </w:tcPr>
          <w:p>
            <w:pPr>
              <w:spacing w:before="0" w:after="0" w:line="240" w:lineRule="auto"/>
              <w:jc w:val="left"/>
            </w:pPr>
            <w:r>
              <w:rPr>
                <w:rFonts w:ascii="Calibri" w:hAnsi="Calibri" w:cs="Calibri" w:eastAsia="Calibri"/>
                <w:sz w:val="20"/>
                <w:shd w:val="clear" w:color="auto" w:fill="FFF3CD"/>
              </w:rPr>
              <w:t xml:space="preserve">[CUSTOMIZE]</w:t>
            </w:r>
          </w:p>
        </w:tc>
      </w:tr>
    </w:tbl>
    <w:p>
      <w:pPr>
        <w:spacing w:after="0"/>
      </w:pP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9360"/>
      </w:tblGrid>
      <w:tr>
        <w:trPr>
          <w:cantSplit/>
          <w:tblHeader/>
        </w:trPr>
        <w:tc>
          <w:tcPr>
            <w:tcW w:type="dxa" w:w="9360"/>
            <w:shd w:val="clear" w:color="auto" w:fill="0B2748"/>
            <w:vAlign w:val="center"/>
          </w:tcPr>
          <w:p>
            <w:pPr>
              <w:spacing w:before="0" w:after="0" w:line="240" w:lineRule="auto"/>
              <w:jc w:val="center"/>
            </w:pPr>
            <w:r>
              <w:rPr>
                <w:rFonts w:ascii="Calibri" w:hAnsi="Calibri" w:cs="Calibri" w:eastAsia="Calibri"/>
                <w:b/>
                <w:color w:val="FFFFFF"/>
                <w:sz w:val="24"/>
              </w:rPr>
              <w:t>Key Implication</w:t>
            </w:r>
          </w:p>
        </w:tc>
      </w:tr>
      <w:tr>
        <w:trPr>
          <w:cantSplit/>
        </w:trPr>
        <w:tc>
          <w:tcPr>
            <w:tcW w:type="dxa" w:w="9360"/>
            <w:shd w:val="clear" w:color="auto" w:fill="FFFFFF"/>
            <w:vAlign w:val="top"/>
          </w:tcPr>
          <w:p>
            <w:pPr>
              <w:spacing w:before="0" w:after="0" w:line="240" w:lineRule="auto"/>
              <w:jc w:val="both"/>
            </w:pPr>
            <w:r>
              <w:rPr>
                <w:rFonts w:ascii="Calibri" w:hAnsi="Calibri" w:cs="Calibri" w:eastAsia="Calibri"/>
                <w:sz w:val="20"/>
              </w:rPr>
              <w:t>A comprehensive MEL system for WASH programming typically requires 5-10% of total program budget. Programs with robust baseline and endline surveys will be toward the higher end. Budget should account for enumerator per diem, transport to communities, sector-specific testing or observation costs, and technology costs (tablets, mobile data collection platforms). Under-budgeting MEL is the most common reason for poor data quality and weak outcome evidence.</w:t>
            </w:r>
          </w:p>
        </w:tc>
      </w:tr>
    </w:tbl>
    <w:p>
      <w:pPr>
        <w:spacing w:after="0"/>
      </w:pPr>
    </w:p>
    <w:sectPr w:rsidR="00FC693F" w:rsidRPr="0006063C" w:rsidSect="00034616">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229FB5"/>
      </w:pBdr>
      <w:tabs>
        <w:tab w:pos="4680" w:val="center"/>
        <w:tab w:pos="9360" w:val="right"/>
      </w:tabs>
      <w:jc w:val="left"/>
    </w:pPr>
    <w:r>
      <w:rPr>
        <w:rFonts w:ascii="Calibri" w:hAnsi="Calibri" w:cs="Calibri" w:eastAsia="Calibri"/>
        <w:color w:val="0B2748"/>
        <w:sz w:val="18"/>
      </w:rPr>
      <w:t xml:space="preserve">Page </w:t>
    </w:r>
    <w:r>
      <w:rPr>
        <w:rFonts w:ascii="Calibri" w:hAnsi="Calibri" w:cs="Calibri" w:eastAsia="Calibri"/>
        <w:color w:val="0B2748"/>
        <w:sz w:val="18"/>
      </w:rPr>
      <w:fldChar w:fldCharType="begin"/>
      <w:instrText xml:space="preserve">PAGE</w:instrText>
      <w:fldChar w:fldCharType="end"/>
    </w:r>
    <w:r>
      <w:rPr>
        <w:rFonts w:ascii="Calibri" w:hAnsi="Calibri" w:cs="Calibri" w:eastAsia="Calibri"/>
        <w:color w:val="0B2748"/>
        <w:sz w:val="18"/>
      </w:rPr>
      <w:t xml:space="preserve"> of </w:t>
    </w:r>
    <w:r>
      <w:rPr>
        <w:rFonts w:ascii="Calibri" w:hAnsi="Calibri" w:cs="Calibri" w:eastAsia="Calibri"/>
        <w:color w:val="0B2748"/>
        <w:sz w:val="18"/>
      </w:rPr>
      <w:fldChar w:fldCharType="begin"/>
      <w:instrText xml:space="preserve">NUMPAGES</w:instrText>
      <w:fldChar w:fldCharType="end"/>
    </w:r>
    <w:r>
      <w:tab/>
    </w:r>
    <w:r>
      <w:rPr>
        <w:rFonts w:ascii="Calibri" w:hAnsi="Calibri" w:cs="Calibri" w:eastAsia="Calibri"/>
        <w:color w:val="0B2748"/>
        <w:sz w:val="18"/>
      </w:rPr>
      <w:t>MonitoringEvaluationStudio.com</w:t>
    </w:r>
    <w:r>
      <w:tab/>
    </w:r>
    <w:r>
      <w:drawing>
        <wp:inline xmlns:a="http://schemas.openxmlformats.org/drawingml/2006/main" xmlns:pic="http://schemas.openxmlformats.org/drawingml/2006/picture">
          <wp:extent cx="1143000" cy="198686"/>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143000" cy="198686"/>
                  </a:xfrm>
                  <a:prstGeom prst="rect"/>
                </pic:spPr>
              </pic:pic>
            </a:graphicData>
          </a:graphic>
        </wp:inline>
      </w:drawing>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229FB5"/>
      </w:pBdr>
      <w:tabs>
        <w:tab w:pos="6480" w:val="center"/>
        <w:tab w:pos="12960" w:val="right"/>
      </w:tabs>
      <w:jc w:val="left"/>
    </w:pPr>
    <w:r>
      <w:rPr>
        <w:rFonts w:ascii="Calibri" w:hAnsi="Calibri" w:cs="Calibri" w:eastAsia="Calibri"/>
        <w:color w:val="0B2748"/>
        <w:sz w:val="18"/>
      </w:rPr>
      <w:t xml:space="preserve">Page </w:t>
    </w:r>
    <w:r>
      <w:rPr>
        <w:rFonts w:ascii="Calibri" w:hAnsi="Calibri" w:cs="Calibri" w:eastAsia="Calibri"/>
        <w:color w:val="0B2748"/>
        <w:sz w:val="18"/>
      </w:rPr>
      <w:fldChar w:fldCharType="begin"/>
      <w:instrText xml:space="preserve">PAGE</w:instrText>
      <w:fldChar w:fldCharType="end"/>
    </w:r>
    <w:r>
      <w:rPr>
        <w:rFonts w:ascii="Calibri" w:hAnsi="Calibri" w:cs="Calibri" w:eastAsia="Calibri"/>
        <w:color w:val="0B2748"/>
        <w:sz w:val="18"/>
      </w:rPr>
      <w:t xml:space="preserve"> of </w:t>
    </w:r>
    <w:r>
      <w:rPr>
        <w:rFonts w:ascii="Calibri" w:hAnsi="Calibri" w:cs="Calibri" w:eastAsia="Calibri"/>
        <w:color w:val="0B2748"/>
        <w:sz w:val="18"/>
      </w:rPr>
      <w:fldChar w:fldCharType="begin"/>
      <w:instrText xml:space="preserve">NUMPAGES</w:instrText>
      <w:fldChar w:fldCharType="end"/>
    </w:r>
    <w:r>
      <w:tab/>
    </w:r>
    <w:r>
      <w:rPr>
        <w:rFonts w:ascii="Calibri" w:hAnsi="Calibri" w:cs="Calibri" w:eastAsia="Calibri"/>
        <w:color w:val="0B2748"/>
        <w:sz w:val="18"/>
      </w:rPr>
      <w:t>MonitoringEvaluationStudio.com</w:t>
    </w:r>
    <w:r>
      <w:tab/>
    </w:r>
    <w:r>
      <w:drawing>
        <wp:inline xmlns:a="http://schemas.openxmlformats.org/drawingml/2006/main" xmlns:pic="http://schemas.openxmlformats.org/drawingml/2006/picture">
          <wp:extent cx="1143000" cy="198686"/>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143000" cy="198686"/>
                  </a:xfrm>
                  <a:prstGeom prst="rect"/>
                </pic:spPr>
              </pic:pic>
            </a:graphicData>
          </a:graphic>
        </wp:inline>
      </w:drawing>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229FB5"/>
      </w:pBdr>
      <w:tabs>
        <w:tab w:pos="4680" w:val="center"/>
        <w:tab w:pos="9360" w:val="right"/>
      </w:tabs>
      <w:jc w:val="left"/>
    </w:pPr>
    <w:r>
      <w:rPr>
        <w:rFonts w:ascii="Calibri" w:hAnsi="Calibri" w:cs="Calibri" w:eastAsia="Calibri"/>
        <w:color w:val="0B2748"/>
        <w:sz w:val="18"/>
      </w:rPr>
      <w:t xml:space="preserve">Page </w:t>
    </w:r>
    <w:r>
      <w:rPr>
        <w:rFonts w:ascii="Calibri" w:hAnsi="Calibri" w:cs="Calibri" w:eastAsia="Calibri"/>
        <w:color w:val="0B2748"/>
        <w:sz w:val="18"/>
      </w:rPr>
      <w:fldChar w:fldCharType="begin"/>
      <w:instrText xml:space="preserve">PAGE</w:instrText>
      <w:fldChar w:fldCharType="end"/>
    </w:r>
    <w:r>
      <w:rPr>
        <w:rFonts w:ascii="Calibri" w:hAnsi="Calibri" w:cs="Calibri" w:eastAsia="Calibri"/>
        <w:color w:val="0B2748"/>
        <w:sz w:val="18"/>
      </w:rPr>
      <w:t xml:space="preserve"> of </w:t>
    </w:r>
    <w:r>
      <w:rPr>
        <w:rFonts w:ascii="Calibri" w:hAnsi="Calibri" w:cs="Calibri" w:eastAsia="Calibri"/>
        <w:color w:val="0B2748"/>
        <w:sz w:val="18"/>
      </w:rPr>
      <w:fldChar w:fldCharType="begin"/>
      <w:instrText xml:space="preserve">NUMPAGES</w:instrText>
      <w:fldChar w:fldCharType="end"/>
    </w:r>
    <w:r>
      <w:tab/>
    </w:r>
    <w:r>
      <w:rPr>
        <w:rFonts w:ascii="Calibri" w:hAnsi="Calibri" w:cs="Calibri" w:eastAsia="Calibri"/>
        <w:color w:val="0B2748"/>
        <w:sz w:val="18"/>
      </w:rPr>
      <w:t>MonitoringEvaluationStudio.com</w:t>
    </w:r>
    <w:r>
      <w:tab/>
    </w:r>
    <w:r>
      <w:drawing>
        <wp:inline xmlns:a="http://schemas.openxmlformats.org/drawingml/2006/main" xmlns:pic="http://schemas.openxmlformats.org/drawingml/2006/picture">
          <wp:extent cx="1143000" cy="198686"/>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143000" cy="198686"/>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cs="Calibri" w:eastAsia="Calibri"/>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Calibri" w:hAnsi="Calibri" w:cs="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Calibri" w:hAnsi="Calibri" w:cs="Calibri" w:eastAsia="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Calibri" w:hAnsi="Calibri" w:cs="Calibri" w:eastAsia="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40" w:lineRule="auto"/>
      <w:jc w:val="left"/>
      <w:outlineLvl w:val="0"/>
    </w:pPr>
    <w:rPr>
      <w:rFonts w:ascii="Calibri" w:hAnsi="Calibri" w:cs="Calibri" w:eastAsia="Calibri"/>
      <w:b/>
      <w:bCs/>
      <w:color w:val="2D6FB7"/>
      <w:sz w:val="36"/>
      <w:szCs w:val="28"/>
    </w:rPr>
  </w:style>
  <w:style w:type="paragraph" w:styleId="Heading2">
    <w:name w:val="heading 2"/>
    <w:basedOn w:val="Normal"/>
    <w:next w:val="Normal"/>
    <w:link w:val="Heading2Char"/>
    <w:uiPriority w:val="9"/>
    <w:unhideWhenUsed/>
    <w:qFormat/>
    <w:rsid w:val="00FC693F"/>
    <w:pPr>
      <w:keepNext/>
      <w:keepLines/>
      <w:spacing w:before="200" w:after="0" w:line="240" w:lineRule="auto"/>
      <w:jc w:val="left"/>
      <w:outlineLvl w:val="1"/>
    </w:pPr>
    <w:rPr>
      <w:rFonts w:ascii="Calibri" w:hAnsi="Calibri" w:cs="Calibri" w:eastAsia="Calibri"/>
      <w:b/>
      <w:bCs/>
      <w:color w:val="229FB5"/>
      <w:sz w:val="32"/>
      <w:szCs w:val="26"/>
    </w:rPr>
  </w:style>
  <w:style w:type="paragraph" w:styleId="Heading3">
    <w:name w:val="heading 3"/>
    <w:basedOn w:val="Normal"/>
    <w:next w:val="Normal"/>
    <w:link w:val="Heading3Char"/>
    <w:uiPriority w:val="9"/>
    <w:unhideWhenUsed/>
    <w:qFormat/>
    <w:rsid w:val="00FC693F"/>
    <w:pPr>
      <w:keepNext/>
      <w:keepLines/>
      <w:spacing w:before="200" w:after="0" w:line="240" w:lineRule="auto"/>
      <w:jc w:val="left"/>
      <w:outlineLvl w:val="2"/>
    </w:pPr>
    <w:rPr>
      <w:rFonts w:ascii="Calibri" w:hAnsi="Calibri" w:cs="Calibri" w:eastAsia="Calibri"/>
      <w:b/>
      <w:bCs/>
      <w:color w:val="2D6FB7"/>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cs="Calibri" w:eastAsia="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cs="Calibri" w:eastAsia="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cs="Calibri" w:eastAsia="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cs="Calibri" w:eastAsia="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cs="Calibri" w:eastAsia="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cs="Calibri" w:eastAsia="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cs="Calibri" w:eastAsia="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cs="Calibri" w:eastAsia="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cs="Calibri" w:eastAsia="Calibr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jc w:val="left"/>
    </w:pPr>
    <w:rPr>
      <w:rFonts w:ascii="Calibri" w:hAnsi="Calibri" w:cs="Calibri" w:eastAsia="Calibri"/>
      <w:b/>
      <w:color w:val="0B2748"/>
      <w:spacing w:val="5"/>
      <w:kern w:val="28"/>
      <w:sz w:val="56"/>
      <w:szCs w:val="52"/>
    </w:rPr>
  </w:style>
  <w:style w:type="character" w:customStyle="1" w:styleId="TitleChar">
    <w:name w:val="Title Char"/>
    <w:basedOn w:val="DefaultParagraphFont"/>
    <w:link w:val="Title"/>
    <w:uiPriority w:val="10"/>
    <w:rsid w:val="00FC693F"/>
    <w:rPr>
      <w:rFonts w:ascii="Calibri" w:hAnsi="Calibri" w:cs="Calibri" w:eastAsia="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cs="Calibri" w:eastAsia="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cs="Calibri" w:eastAsia="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Calibri" w:hAnsi="Calibri" w:cs="Calibri" w:eastAsia="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Calibri" w:hAnsi="Calibri" w:cs="Calibri" w:eastAsia="Calibr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s="Calibri" w:eastAsia="Calibri"/>
      <w:sz w:val="20"/>
      <w:szCs w:val="20"/>
    </w:rPr>
  </w:style>
  <w:style w:type="character" w:customStyle="1" w:styleId="MacroTextChar">
    <w:name w:val="Macro Text Char"/>
    <w:basedOn w:val="DefaultParagraphFont"/>
    <w:link w:val="MacroText"/>
    <w:uiPriority w:val="99"/>
    <w:rsid w:val="0029639D"/>
    <w:rPr>
      <w:rFonts w:ascii="Calibri" w:hAnsi="Calibri" w:cs="Calibri" w:eastAsia="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cs="Calibri" w:eastAsia="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cs="Calibri" w:eastAsia="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cs="Calibri" w:eastAsia="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cs="Calibri" w:eastAsia="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cs="Calibri" w:eastAsia="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cs="Calibri" w:eastAsia="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Calibri" w:hAnsi="Calibri" w:cs="Calibri" w:eastAsia="Calibr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cs="Calibri" w:eastAsia="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cs="Calibri" w:eastAsia="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cs="Calibri" w:eastAsia="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cs="Calibri" w:eastAsia="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cs="Calibri" w:eastAsia="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cs="Calibri" w:eastAsia="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cs="Calibri" w:eastAsia="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cs="Calibri" w:eastAsia="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cs="Calibri" w:eastAsia="Calibri"/>
        <w:b/>
        <w:bCs/>
      </w:rPr>
    </w:tblStylePr>
    <w:tblStylePr w:type="lastCol">
      <w:rPr>
        <w:rFonts w:ascii="Calibri" w:hAnsi="Calibri" w:cs="Calibri" w:eastAsia="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cs="Calibri" w:eastAsia="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cs="Calibri" w:eastAsia="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alibri" w:hAnsi="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cstheme="majorBidi"/>
        <w:b/>
        <w:bCs/>
      </w:rPr>
    </w:tblStylePr>
    <w:tblStylePr w:type="lastCol">
      <w:rPr>
        <w:rFonts w:ascii="Calibri" w:hAnsi="Calibr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 Water Access MEL Plan</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