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0B2748"/>
          <w:sz w:val="36"/>
          <w:szCs w:val="36"/>
        </w:rPr>
        <w:t xml:space="preserve">Community Health Worker Network Strengthening</w:t>
      </w:r>
    </w:p>
    <w:p>
      <w:pPr>
        <w:spacing w:after="200"/>
      </w:pPr>
      <w:r>
        <w:rPr>
          <w:color w:val="1A7A8A"/>
          <w:sz w:val="20"/>
          <w:szCs w:val="20"/>
        </w:rPr>
        <w:t xml:space="preserve">An M&amp;E Studio Logic Model Pack: Community Health Worker Network Strengthening (Health, Primary Healthcare).</w:t>
      </w:r>
    </w:p>
    <w:p>
      <w:pPr>
        <w:keepNext/>
        <w:spacing w:after="100" w:before="280"/>
      </w:pPr>
      <w:r>
        <w:rPr>
          <w:b/>
          <w:bCs/>
          <w:color w:val="0B2748"/>
          <w:sz w:val="28"/>
          <w:szCs w:val="28"/>
        </w:rPr>
        <w:t xml:space="preserve">Results and Indicators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3%"/>
            <w:shd w:fill="0B2748" w:color="auto" w:val="clear"/>
            <w:tcMar>
              <w:top w:type="dxa" w:w="50"/>
              <w:left w:type="dxa" w:w="80"/>
              <w:bottom w:type="dxa" w:w="50"/>
              <w:right w:type="dxa" w:w="80"/>
            </w:tcMar>
          </w:tcPr>
          <w:p>
            <w:r>
              <w:rPr>
                <w:b/>
                <w:bCs/>
                <w:color w:val="FFFFFF"/>
                <w:sz w:val="19"/>
                <w:szCs w:val="19"/>
              </w:rPr>
              <w:t xml:space="preserve">Level</w:t>
            </w:r>
          </w:p>
        </w:tc>
        <w:tc>
          <w:tcPr>
            <w:tcW w:type="pct" w:w="30%"/>
            <w:shd w:fill="0B2748" w:color="auto" w:val="clear"/>
            <w:tcMar>
              <w:top w:type="dxa" w:w="50"/>
              <w:left w:type="dxa" w:w="80"/>
              <w:bottom w:type="dxa" w:w="50"/>
              <w:right w:type="dxa" w:w="80"/>
            </w:tcMar>
          </w:tcPr>
          <w:p>
            <w:r>
              <w:rPr>
                <w:b/>
                <w:bCs/>
                <w:color w:val="FFFFFF"/>
                <w:sz w:val="19"/>
                <w:szCs w:val="19"/>
              </w:rPr>
              <w:t xml:space="preserve">Result</w:t>
            </w:r>
          </w:p>
        </w:tc>
        <w:tc>
          <w:tcPr>
            <w:tcW w:type="pct" w:w="31%"/>
            <w:shd w:fill="0B2748" w:color="auto" w:val="clear"/>
            <w:tcMar>
              <w:top w:type="dxa" w:w="50"/>
              <w:left w:type="dxa" w:w="80"/>
              <w:bottom w:type="dxa" w:w="50"/>
              <w:right w:type="dxa" w:w="80"/>
            </w:tcMar>
          </w:tcPr>
          <w:p>
            <w:r>
              <w:rPr>
                <w:b/>
                <w:bCs/>
                <w:color w:val="FFFFFF"/>
                <w:sz w:val="19"/>
                <w:szCs w:val="19"/>
              </w:rPr>
              <w:t xml:space="preserve">Indicators</w:t>
            </w:r>
          </w:p>
        </w:tc>
        <w:tc>
          <w:tcPr>
            <w:tcW w:type="pct" w:w="16%"/>
            <w:shd w:fill="0B2748" w:color="auto" w:val="clear"/>
            <w:tcMar>
              <w:top w:type="dxa" w:w="50"/>
              <w:left w:type="dxa" w:w="80"/>
              <w:bottom w:type="dxa" w:w="50"/>
              <w:right w:type="dxa" w:w="80"/>
            </w:tcMar>
          </w:tcPr>
          <w:p>
            <w:r>
              <w:rPr>
                <w:b/>
                <w:bCs/>
                <w:color w:val="FFFFFF"/>
                <w:sz w:val="19"/>
                <w:szCs w:val="19"/>
              </w:rPr>
              <w:t xml:space="preserve">Data source</w:t>
            </w:r>
          </w:p>
        </w:tc>
        <w:tc>
          <w:tcPr>
            <w:tcW w:type="pct" w:w="10%"/>
            <w:shd w:fill="0B2748" w:color="auto" w:val="clear"/>
            <w:tcMar>
              <w:top w:type="dxa" w:w="50"/>
              <w:left w:type="dxa" w:w="80"/>
              <w:bottom w:type="dxa" w:w="50"/>
              <w:right w:type="dxa" w:w="80"/>
            </w:tcMar>
          </w:tcPr>
          <w:p>
            <w:r>
              <w:rPr>
                <w:b/>
                <w:bCs/>
                <w:color w:val="FFFFFF"/>
                <w:sz w:val="19"/>
                <w:szCs w:val="19"/>
              </w:rPr>
              <w:t xml:space="preserve">Frequency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Impact 1</w:t>
            </w:r>
          </w:p>
        </w:tc>
        <w:tc>
          <w:tcPr>
            <w:tcW w:type="pct" w:w="30%"/>
            <w:tcMar>
              <w:top w:type="dxa" w:w="50"/>
              <w:left w:type="dxa" w:w="80"/>
              <w:bottom w:type="dxa" w:w="50"/>
              <w:right w:type="dxa" w:w="80"/>
            </w:tcMar>
          </w:tcPr>
          <w:p>
            <w:pPr>
              <w:spacing w:after="60"/>
            </w:pPr>
            <w:r>
              <w:rPr>
                <w:color w:val="0B2748"/>
                <w:sz w:val="18"/>
                <w:szCs w:val="18"/>
              </w:rPr>
              <w:t xml:space="preserve">Reduced morbidity and mortality from preventable and treatable conditions among the target population through expanded community-based primary healthcare</w:t>
            </w:r>
          </w:p>
        </w:tc>
        <w:tc>
          <w:tcPr>
            <w:tcW w:type="pct" w:w="31%"/>
            <w:tcMar>
              <w:top w:type="dxa" w:w="50"/>
              <w:left w:type="dxa" w:w="80"/>
              <w:bottom w:type="dxa" w:w="50"/>
              <w:right w:type="dxa" w:w="80"/>
            </w:tcMar>
          </w:tcPr>
          <w:p>
            <w:pPr>
              <w:spacing w:after="40"/>
            </w:pPr>
            <w:r>
              <w:rPr>
                <w:color w:val="0B2748"/>
                <w:sz w:val="18"/>
                <w:szCs w:val="18"/>
              </w:rPr>
              <w:t xml:space="preserve">Impact 1.1  Under-five mortality rate per 1,000 live births</w:t>
            </w:r>
          </w:p>
        </w:tc>
        <w:tc>
          <w:tcPr>
            <w:tcW w:type="pct" w:w="16%"/>
            <w:tcMar>
              <w:top w:type="dxa" w:w="50"/>
              <w:left w:type="dxa" w:w="80"/>
              <w:bottom w:type="dxa" w:w="50"/>
              <w:right w:type="dxa" w:w="80"/>
            </w:tcMar>
          </w:tcPr>
          <w:p>
            <w:pPr>
              <w:spacing w:after="40"/>
            </w:pPr>
            <w:r>
              <w:rPr>
                <w:color w:val="0B2748"/>
                <w:sz w:val="18"/>
                <w:szCs w:val="18"/>
              </w:rPr>
              <w:t xml:space="preserve">National demographic and health surveys (e.g., DHS, MICS) or national vital registration systems</w:t>
            </w:r>
          </w:p>
        </w:tc>
        <w:tc>
          <w:tcPr>
            <w:tcW w:type="pct" w:w="10%"/>
            <w:tcMar>
              <w:top w:type="dxa" w:w="50"/>
              <w:left w:type="dxa" w:w="80"/>
              <w:bottom w:type="dxa" w:w="50"/>
              <w:right w:type="dxa" w:w="80"/>
            </w:tcMar>
          </w:tcPr>
          <w:p>
            <w:pPr>
              <w:spacing w:after="40"/>
            </w:pPr>
            <w:r>
              <w:rPr>
                <w:color w:val="0B2748"/>
                <w:sz w:val="18"/>
                <w:szCs w:val="18"/>
              </w:rPr>
              <w:t xml:space="preserve">Baseline, endline (suggested)</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Outcome 1</w:t>
            </w:r>
          </w:p>
        </w:tc>
        <w:tc>
          <w:tcPr>
            <w:tcW w:type="pct" w:w="30%"/>
            <w:tcMar>
              <w:top w:type="dxa" w:w="50"/>
              <w:left w:type="dxa" w:w="80"/>
              <w:bottom w:type="dxa" w:w="50"/>
              <w:right w:type="dxa" w:w="80"/>
            </w:tcMar>
          </w:tcPr>
          <w:p>
            <w:pPr>
              <w:spacing w:after="60"/>
            </w:pPr>
            <w:r>
              <w:rPr>
                <w:color w:val="0B2748"/>
                <w:sz w:val="18"/>
                <w:szCs w:val="18"/>
              </w:rPr>
              <w:t xml:space="preserve">Increased coverage and utilization of community-level preventive, promotive, and basic curative services among the target population</w:t>
            </w:r>
          </w:p>
        </w:tc>
        <w:tc>
          <w:tcPr>
            <w:tcW w:type="pct" w:w="31%"/>
            <w:tcMar>
              <w:top w:type="dxa" w:w="50"/>
              <w:left w:type="dxa" w:w="80"/>
              <w:bottom w:type="dxa" w:w="50"/>
              <w:right w:type="dxa" w:w="80"/>
            </w:tcMar>
          </w:tcPr>
          <w:p>
            <w:pPr>
              <w:spacing w:after="40"/>
            </w:pPr>
            <w:r>
              <w:rPr>
                <w:color w:val="0B2748"/>
                <w:sz w:val="18"/>
                <w:szCs w:val="18"/>
              </w:rPr>
              <w:t xml:space="preserve">Outcome 1.1  Proportion of women of reproductive age in supported communities utilizing antenatal care services at least once during pregnancy</w:t>
            </w:r>
          </w:p>
          <w:p>
            <w:pPr>
              <w:spacing w:after="40"/>
            </w:pPr>
            <w:r>
              <w:rPr>
                <w:color w:val="0B2748"/>
                <w:sz w:val="18"/>
                <w:szCs w:val="18"/>
              </w:rPr>
              <w:t xml:space="preserve">Outcome 1.2  Proportion of children under five years old in supported communities who have received a complete set of essential immunizations according to national guidelines</w:t>
            </w:r>
          </w:p>
        </w:tc>
        <w:tc>
          <w:tcPr>
            <w:tcW w:type="pct" w:w="16%"/>
            <w:tcMar>
              <w:top w:type="dxa" w:w="50"/>
              <w:left w:type="dxa" w:w="80"/>
              <w:bottom w:type="dxa" w:w="50"/>
              <w:right w:type="dxa" w:w="80"/>
            </w:tcMar>
          </w:tcPr>
          <w:p>
            <w:pPr>
              <w:spacing w:after="40"/>
            </w:pPr>
            <w:r>
              <w:rPr>
                <w:color w:val="0B2748"/>
                <w:sz w:val="18"/>
                <w:szCs w:val="18"/>
              </w:rPr>
              <w:t xml:space="preserve">Household surveys conducted at baseline and endline, using a structured questionnaire administered to women of reproductive age who have had a pregnancy in the last 12 months</w:t>
            </w:r>
          </w:p>
          <w:p>
            <w:pPr>
              <w:spacing w:after="40"/>
            </w:pPr>
            <w:r>
              <w:rPr>
                <w:color w:val="0B2748"/>
                <w:sz w:val="18"/>
                <w:szCs w:val="18"/>
              </w:rPr>
              <w:t xml:space="preserve">Household surveys with vaccination card review and/or maternal recall at baseline and endline. Facility records can be used for triangulation</w:t>
            </w:r>
          </w:p>
        </w:tc>
        <w:tc>
          <w:tcPr>
            <w:tcW w:type="pct" w:w="10%"/>
            <w:tcMar>
              <w:top w:type="dxa" w:w="50"/>
              <w:left w:type="dxa" w:w="80"/>
              <w:bottom w:type="dxa" w:w="50"/>
              <w:right w:type="dxa" w:w="80"/>
            </w:tcMar>
          </w:tcPr>
          <w:p>
            <w:pPr>
              <w:spacing w:after="40"/>
            </w:pPr>
            <w:r>
              <w:rPr>
                <w:color w:val="0B2748"/>
                <w:sz w:val="18"/>
                <w:szCs w:val="18"/>
              </w:rPr>
              <w:t xml:space="preserve">Baseline, endline</w:t>
            </w:r>
          </w:p>
          <w:p>
            <w:pPr>
              <w:spacing w:after="40"/>
            </w:pPr>
            <w:r>
              <w:rPr>
                <w:color w:val="0B2748"/>
                <w:sz w:val="18"/>
                <w:szCs w:val="18"/>
              </w:rPr>
              <w:t xml:space="preserve">Baseline, endline</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Outcome 2</w:t>
            </w:r>
          </w:p>
        </w:tc>
        <w:tc>
          <w:tcPr>
            <w:tcW w:type="pct" w:w="30%"/>
            <w:tcMar>
              <w:top w:type="dxa" w:w="50"/>
              <w:left w:type="dxa" w:w="80"/>
              <w:bottom w:type="dxa" w:w="50"/>
              <w:right w:type="dxa" w:w="80"/>
            </w:tcMar>
          </w:tcPr>
          <w:p>
            <w:pPr>
              <w:spacing w:after="60"/>
            </w:pPr>
            <w:r>
              <w:rPr>
                <w:color w:val="0B2748"/>
                <w:sz w:val="18"/>
                <w:szCs w:val="18"/>
              </w:rPr>
              <w:t xml:space="preserve">Strengthened community health worker (CHW) workforce performance and integration with the formal primary healthcare system</w:t>
            </w:r>
          </w:p>
        </w:tc>
        <w:tc>
          <w:tcPr>
            <w:tcW w:type="pct" w:w="31%"/>
            <w:tcMar>
              <w:top w:type="dxa" w:w="50"/>
              <w:left w:type="dxa" w:w="80"/>
              <w:bottom w:type="dxa" w:w="50"/>
              <w:right w:type="dxa" w:w="80"/>
            </w:tcMar>
          </w:tcPr>
          <w:p>
            <w:pPr>
              <w:spacing w:after="40"/>
            </w:pPr>
            <w:r>
              <w:rPr>
                <w:color w:val="0B2748"/>
                <w:sz w:val="18"/>
                <w:szCs w:val="18"/>
              </w:rPr>
              <w:t xml:space="preserve">Outcome 2.1  Proportion of community health workers meeting performance standards on a structured supervision checklist</w:t>
            </w:r>
          </w:p>
        </w:tc>
        <w:tc>
          <w:tcPr>
            <w:tcW w:type="pct" w:w="16%"/>
            <w:tcMar>
              <w:top w:type="dxa" w:w="50"/>
              <w:left w:type="dxa" w:w="80"/>
              <w:bottom w:type="dxa" w:w="50"/>
              <w:right w:type="dxa" w:w="80"/>
            </w:tcMar>
          </w:tcPr>
          <w:p>
            <w:pPr>
              <w:spacing w:after="40"/>
            </w:pPr>
            <w:r>
              <w:rPr>
                <w:color w:val="0B2748"/>
                <w:sz w:val="18"/>
                <w:szCs w:val="18"/>
              </w:rPr>
              <w:t xml:space="preserve">Routine supportive supervision visits using a structured CHW performance checklist; results aggregated quarterly from supervision records</w:t>
            </w:r>
          </w:p>
        </w:tc>
        <w:tc>
          <w:tcPr>
            <w:tcW w:type="pct" w:w="10%"/>
            <w:tcMar>
              <w:top w:type="dxa" w:w="50"/>
              <w:left w:type="dxa" w:w="80"/>
              <w:bottom w:type="dxa" w:w="50"/>
              <w:right w:type="dxa" w:w="80"/>
            </w:tcMar>
          </w:tcPr>
          <w:p>
            <w:pPr>
              <w:spacing w:after="40"/>
            </w:pPr>
            <w:r>
              <w:rPr>
                <w:color w:val="0B2748"/>
                <w:sz w:val="18"/>
                <w:szCs w:val="18"/>
              </w:rPr>
              <w:t xml:space="preserve">Quarterly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Outcome 3</w:t>
            </w:r>
          </w:p>
        </w:tc>
        <w:tc>
          <w:tcPr>
            <w:tcW w:type="pct" w:w="30%"/>
            <w:tcMar>
              <w:top w:type="dxa" w:w="50"/>
              <w:left w:type="dxa" w:w="80"/>
              <w:bottom w:type="dxa" w:w="50"/>
              <w:right w:type="dxa" w:w="80"/>
            </w:tcMar>
          </w:tcPr>
          <w:p>
            <w:pPr>
              <w:spacing w:after="60"/>
            </w:pPr>
            <w:r>
              <w:rPr>
                <w:color w:val="0B2748"/>
                <w:sz w:val="18"/>
                <w:szCs w:val="18"/>
              </w:rPr>
              <w:t xml:space="preserve">Improved care-seeking behavior and trust in community-based services among caregivers and household decision-makers</w:t>
            </w:r>
          </w:p>
        </w:tc>
        <w:tc>
          <w:tcPr>
            <w:tcW w:type="pct" w:w="31%"/>
            <w:tcMar>
              <w:top w:type="dxa" w:w="50"/>
              <w:left w:type="dxa" w:w="80"/>
              <w:bottom w:type="dxa" w:w="50"/>
              <w:right w:type="dxa" w:w="80"/>
            </w:tcMar>
          </w:tcPr>
          <w:p>
            <w:pPr>
              <w:spacing w:after="40"/>
            </w:pPr>
            <w:r>
              <w:rPr>
                <w:color w:val="0B2748"/>
                <w:sz w:val="18"/>
                <w:szCs w:val="18"/>
              </w:rPr>
              <w:t xml:space="preserve">Outcome 3.1  Proportion of individuals in supported communities who can correctly identify the primary health facility for seeking treatment for common ailments</w:t>
            </w:r>
          </w:p>
          <w:p>
            <w:pPr>
              <w:spacing w:after="40"/>
            </w:pPr>
            <w:r>
              <w:rPr>
                <w:color w:val="0B2748"/>
                <w:sz w:val="18"/>
                <w:szCs w:val="18"/>
              </w:rPr>
              <w:t xml:space="preserve">Outcome 3.2  Proportion of caregivers reporting trust in community health workers as a first point of contact for child illness</w:t>
            </w:r>
          </w:p>
        </w:tc>
        <w:tc>
          <w:tcPr>
            <w:tcW w:type="pct" w:w="16%"/>
            <w:tcMar>
              <w:top w:type="dxa" w:w="50"/>
              <w:left w:type="dxa" w:w="80"/>
              <w:bottom w:type="dxa" w:w="50"/>
              <w:right w:type="dxa" w:w="80"/>
            </w:tcMar>
          </w:tcPr>
          <w:p>
            <w:pPr>
              <w:spacing w:after="40"/>
            </w:pPr>
            <w:r>
              <w:rPr>
                <w:color w:val="0B2748"/>
                <w:sz w:val="18"/>
                <w:szCs w:val="18"/>
              </w:rPr>
              <w:t xml:space="preserve">Household surveys at baseline and endline, using a structured questionnaire asking about preferred or designated health-seeking points</w:t>
            </w:r>
          </w:p>
          <w:p>
            <w:pPr>
              <w:spacing w:after="40"/>
            </w:pPr>
            <w:r>
              <w:rPr>
                <w:color w:val="0B2748"/>
                <w:sz w:val="18"/>
                <w:szCs w:val="18"/>
              </w:rPr>
              <w:t xml:space="preserve">Household survey at baseline and endline, with a structured trust and care-seeking module</w:t>
            </w:r>
          </w:p>
        </w:tc>
        <w:tc>
          <w:tcPr>
            <w:tcW w:type="pct" w:w="10%"/>
            <w:tcMar>
              <w:top w:type="dxa" w:w="50"/>
              <w:left w:type="dxa" w:w="80"/>
              <w:bottom w:type="dxa" w:w="50"/>
              <w:right w:type="dxa" w:w="80"/>
            </w:tcMar>
          </w:tcPr>
          <w:p>
            <w:pPr>
              <w:spacing w:after="40"/>
            </w:pPr>
            <w:r>
              <w:rPr>
                <w:color w:val="0B2748"/>
                <w:sz w:val="18"/>
                <w:szCs w:val="18"/>
              </w:rPr>
              <w:t xml:space="preserve">Baseline, endline</w:t>
            </w:r>
          </w:p>
          <w:p>
            <w:pPr>
              <w:spacing w:after="40"/>
            </w:pPr>
            <w:r>
              <w:rPr>
                <w:color w:val="0B2748"/>
                <w:sz w:val="18"/>
                <w:szCs w:val="18"/>
              </w:rPr>
              <w:t xml:space="preserve">Baseline, endline</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1: Community Health Service Package</w:t>
            </w:r>
          </w:p>
        </w:tc>
        <w:tc>
          <w:tcPr>
            <w:tcW w:type="pct" w:w="30%"/>
            <w:tcMar>
              <w:top w:type="dxa" w:w="50"/>
              <w:left w:type="dxa" w:w="80"/>
              <w:bottom w:type="dxa" w:w="50"/>
              <w:right w:type="dxa" w:w="80"/>
            </w:tcMar>
          </w:tcPr>
          <w:p>
            <w:pPr>
              <w:spacing w:after="60"/>
            </w:pPr>
            <w:r>
              <w:rPr>
                <w:color w:val="0B2748"/>
                <w:sz w:val="18"/>
                <w:szCs w:val="18"/>
              </w:rPr>
              <w:t xml:space="preserve">Standardized community health service package (integrated community case management, growth promotion, immunization defaulter tracing, referral) delivered at household level</w:t>
            </w:r>
          </w:p>
        </w:tc>
        <w:tc>
          <w:tcPr>
            <w:tcW w:type="pct" w:w="31%"/>
            <w:tcMar>
              <w:top w:type="dxa" w:w="50"/>
              <w:left w:type="dxa" w:w="80"/>
              <w:bottom w:type="dxa" w:w="50"/>
              <w:right w:type="dxa" w:w="80"/>
            </w:tcMar>
          </w:tcPr>
          <w:p>
            <w:pPr>
              <w:spacing w:after="40"/>
            </w:pPr>
            <w:r>
              <w:rPr>
                <w:color w:val="0B2748"/>
                <w:sz w:val="18"/>
                <w:szCs w:val="18"/>
              </w:rPr>
              <w:t xml:space="preserve">Output 1.1  Number of household visits conducted by community health workers delivering the standardized community health service package</w:t>
            </w:r>
          </w:p>
        </w:tc>
        <w:tc>
          <w:tcPr>
            <w:tcW w:type="pct" w:w="16%"/>
            <w:tcMar>
              <w:top w:type="dxa" w:w="50"/>
              <w:left w:type="dxa" w:w="80"/>
              <w:bottom w:type="dxa" w:w="50"/>
              <w:right w:type="dxa" w:w="80"/>
            </w:tcMar>
          </w:tcPr>
          <w:p>
            <w:pPr>
              <w:spacing w:after="40"/>
            </w:pPr>
            <w:r>
              <w:rPr>
                <w:color w:val="0B2748"/>
                <w:sz w:val="18"/>
                <w:szCs w:val="18"/>
              </w:rPr>
              <w:t xml:space="preserve">CHW activity registers and routine reporting tools, aggregated monthly</w:t>
            </w:r>
          </w:p>
        </w:tc>
        <w:tc>
          <w:tcPr>
            <w:tcW w:type="pct" w:w="10%"/>
            <w:tcMar>
              <w:top w:type="dxa" w:w="50"/>
              <w:left w:type="dxa" w:w="80"/>
              <w:bottom w:type="dxa" w:w="50"/>
              <w:right w:type="dxa" w:w="80"/>
            </w:tcMar>
          </w:tcPr>
          <w:p>
            <w:pPr>
              <w:spacing w:after="40"/>
            </w:pPr>
            <w:r>
              <w:rPr>
                <w:color w:val="0B2748"/>
                <w:sz w:val="18"/>
                <w:szCs w:val="18"/>
              </w:rPr>
              <w:t xml:space="preserve">Monthly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2: CHW Supply Chain and Commodities</w:t>
            </w:r>
          </w:p>
        </w:tc>
        <w:tc>
          <w:tcPr>
            <w:tcW w:type="pct" w:w="30%"/>
            <w:tcMar>
              <w:top w:type="dxa" w:w="50"/>
              <w:left w:type="dxa" w:w="80"/>
              <w:bottom w:type="dxa" w:w="50"/>
              <w:right w:type="dxa" w:w="80"/>
            </w:tcMar>
          </w:tcPr>
          <w:p>
            <w:pPr>
              <w:spacing w:after="60"/>
            </w:pPr>
            <w:r>
              <w:rPr>
                <w:color w:val="0B2748"/>
                <w:sz w:val="18"/>
                <w:szCs w:val="18"/>
              </w:rPr>
              <w:t xml:space="preserve">Reliable supply chain and commodity availability at CHW level (essential medicines, rapid diagnostic tests, job aids)</w:t>
            </w:r>
          </w:p>
        </w:tc>
        <w:tc>
          <w:tcPr>
            <w:tcW w:type="pct" w:w="31%"/>
            <w:tcMar>
              <w:top w:type="dxa" w:w="50"/>
              <w:left w:type="dxa" w:w="80"/>
              <w:bottom w:type="dxa" w:w="50"/>
              <w:right w:type="dxa" w:w="80"/>
            </w:tcMar>
          </w:tcPr>
          <w:p>
            <w:pPr>
              <w:spacing w:after="40"/>
            </w:pPr>
            <w:r>
              <w:rPr>
                <w:color w:val="0B2748"/>
                <w:sz w:val="18"/>
                <w:szCs w:val="18"/>
              </w:rPr>
              <w:t xml:space="preserve">Output 2.1  Number of essential medicines and health commodities procured and distributed</w:t>
            </w:r>
          </w:p>
          <w:p>
            <w:pPr>
              <w:spacing w:after="40"/>
            </w:pPr>
            <w:r>
              <w:rPr>
                <w:color w:val="0B2748"/>
                <w:sz w:val="18"/>
                <w:szCs w:val="18"/>
              </w:rPr>
              <w:t xml:space="preserve">Output 2.2  Proportion of supported community health workers with no stock-out of tracer commodities at the most recent supervision visit</w:t>
            </w:r>
          </w:p>
        </w:tc>
        <w:tc>
          <w:tcPr>
            <w:tcW w:type="pct" w:w="16%"/>
            <w:tcMar>
              <w:top w:type="dxa" w:w="50"/>
              <w:left w:type="dxa" w:w="80"/>
              <w:bottom w:type="dxa" w:w="50"/>
              <w:right w:type="dxa" w:w="80"/>
            </w:tcMar>
          </w:tcPr>
          <w:p>
            <w:pPr>
              <w:spacing w:after="40"/>
            </w:pPr>
            <w:r>
              <w:rPr>
                <w:color w:val="0B2748"/>
                <w:sz w:val="18"/>
                <w:szCs w:val="18"/>
              </w:rPr>
              <w:t xml:space="preserve">Procurement records, warehouse inventory logs, and distribution receipts will be reviewed periodically</w:t>
            </w:r>
          </w:p>
          <w:p>
            <w:pPr>
              <w:spacing w:after="40"/>
            </w:pPr>
            <w:r>
              <w:rPr>
                <w:color w:val="0B2748"/>
                <w:sz w:val="18"/>
                <w:szCs w:val="18"/>
              </w:rPr>
              <w:t xml:space="preserve">Stock check during supervision visits using a standard commodity availability checklist</w:t>
            </w:r>
          </w:p>
        </w:tc>
        <w:tc>
          <w:tcPr>
            <w:tcW w:type="pct" w:w="10%"/>
            <w:tcMar>
              <w:top w:type="dxa" w:w="50"/>
              <w:left w:type="dxa" w:w="80"/>
              <w:bottom w:type="dxa" w:w="50"/>
              <w:right w:type="dxa" w:w="80"/>
            </w:tcMar>
          </w:tcPr>
          <w:p>
            <w:pPr>
              <w:spacing w:after="40"/>
            </w:pPr>
            <w:r>
              <w:rPr>
                <w:color w:val="0B2748"/>
                <w:sz w:val="18"/>
                <w:szCs w:val="18"/>
              </w:rPr>
              <w:t xml:space="preserve">Quarterly (suggested)</w:t>
            </w:r>
          </w:p>
          <w:p>
            <w:pPr>
              <w:spacing w:after="40"/>
            </w:pPr>
            <w:r>
              <w:rPr>
                <w:color w:val="0B2748"/>
                <w:sz w:val="18"/>
                <w:szCs w:val="18"/>
              </w:rPr>
              <w:t xml:space="preserve">Quarterly (suggested)</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3: CHW Training and Deployment</w:t>
            </w:r>
          </w:p>
        </w:tc>
        <w:tc>
          <w:tcPr>
            <w:tcW w:type="pct" w:w="30%"/>
            <w:tcMar>
              <w:top w:type="dxa" w:w="50"/>
              <w:left w:type="dxa" w:w="80"/>
              <w:bottom w:type="dxa" w:w="50"/>
              <w:right w:type="dxa" w:w="80"/>
            </w:tcMar>
          </w:tcPr>
          <w:p>
            <w:pPr>
              <w:spacing w:after="60"/>
            </w:pPr>
            <w:r>
              <w:rPr>
                <w:color w:val="0B2748"/>
                <w:sz w:val="18"/>
                <w:szCs w:val="18"/>
              </w:rPr>
              <w:t xml:space="preserve">A trained, equipped, and deployed cadre of CHWs covering catchment areas</w:t>
            </w:r>
          </w:p>
        </w:tc>
        <w:tc>
          <w:tcPr>
            <w:tcW w:type="pct" w:w="31%"/>
            <w:tcMar>
              <w:top w:type="dxa" w:w="50"/>
              <w:left w:type="dxa" w:w="80"/>
              <w:bottom w:type="dxa" w:w="50"/>
              <w:right w:type="dxa" w:w="80"/>
            </w:tcMar>
          </w:tcPr>
          <w:p>
            <w:pPr>
              <w:spacing w:after="40"/>
            </w:pPr>
            <w:r>
              <w:rPr>
                <w:color w:val="0B2748"/>
                <w:sz w:val="18"/>
                <w:szCs w:val="18"/>
              </w:rPr>
              <w:t xml:space="preserve">Output 3.1  Number of healthcare workers trained on essential primary healthcare services</w:t>
            </w:r>
          </w:p>
          <w:p>
            <w:pPr>
              <w:spacing w:after="40"/>
            </w:pPr>
            <w:r>
              <w:rPr>
                <w:color w:val="0B2748"/>
                <w:sz w:val="18"/>
                <w:szCs w:val="18"/>
              </w:rPr>
              <w:t xml:space="preserve">Output 3.2  Number of community health workers credentialed against the national community health curriculum and deployed to assigned catchment areas</w:t>
            </w:r>
          </w:p>
        </w:tc>
        <w:tc>
          <w:tcPr>
            <w:tcW w:type="pct" w:w="16%"/>
            <w:tcMar>
              <w:top w:type="dxa" w:w="50"/>
              <w:left w:type="dxa" w:w="80"/>
              <w:bottom w:type="dxa" w:w="50"/>
              <w:right w:type="dxa" w:w="80"/>
            </w:tcMar>
          </w:tcPr>
          <w:p>
            <w:pPr>
              <w:spacing w:after="40"/>
            </w:pPr>
            <w:r>
              <w:rPr>
                <w:color w:val="0B2748"/>
                <w:sz w:val="18"/>
                <w:szCs w:val="18"/>
              </w:rPr>
              <w:t xml:space="preserve">Training attendance registers and post-training assessment records will be collected from training facilitators at the end of each training session</w:t>
            </w:r>
          </w:p>
          <w:p>
            <w:pPr>
              <w:spacing w:after="40"/>
            </w:pPr>
            <w:r>
              <w:rPr>
                <w:color w:val="0B2748"/>
                <w:sz w:val="18"/>
                <w:szCs w:val="18"/>
              </w:rPr>
              <w:t xml:space="preserve">Program HR records, certification lists, and deployment letters reviewed quarterly</w:t>
            </w:r>
          </w:p>
        </w:tc>
        <w:tc>
          <w:tcPr>
            <w:tcW w:type="pct" w:w="10%"/>
            <w:tcMar>
              <w:top w:type="dxa" w:w="50"/>
              <w:left w:type="dxa" w:w="80"/>
              <w:bottom w:type="dxa" w:w="50"/>
              <w:right w:type="dxa" w:w="80"/>
            </w:tcMar>
          </w:tcPr>
          <w:p>
            <w:pPr>
              <w:spacing w:after="40"/>
            </w:pPr>
            <w:r>
              <w:rPr>
                <w:color w:val="0B2748"/>
                <w:sz w:val="18"/>
                <w:szCs w:val="18"/>
              </w:rPr>
              <w:t xml:space="preserve">Quarterly (suggested)</w:t>
            </w:r>
          </w:p>
          <w:p>
            <w:pPr>
              <w:spacing w:after="40"/>
            </w:pPr>
            <w:r>
              <w:rPr>
                <w:color w:val="0B2748"/>
                <w:sz w:val="18"/>
                <w:szCs w:val="18"/>
              </w:rPr>
              <w:t xml:space="preserve">Quarterly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4: CHW Supportive Supervision</w:t>
            </w:r>
          </w:p>
        </w:tc>
        <w:tc>
          <w:tcPr>
            <w:tcW w:type="pct" w:w="30%"/>
            <w:tcMar>
              <w:top w:type="dxa" w:w="50"/>
              <w:left w:type="dxa" w:w="80"/>
              <w:bottom w:type="dxa" w:w="50"/>
              <w:right w:type="dxa" w:w="80"/>
            </w:tcMar>
          </w:tcPr>
          <w:p>
            <w:pPr>
              <w:spacing w:after="60"/>
            </w:pPr>
            <w:r>
              <w:rPr>
                <w:color w:val="0B2748"/>
                <w:sz w:val="18"/>
                <w:szCs w:val="18"/>
              </w:rPr>
              <w:t xml:space="preserve">Routine CHW supportive supervision, mentoring, and performance monitoring system operating at facility and sub-national level</w:t>
            </w:r>
          </w:p>
        </w:tc>
        <w:tc>
          <w:tcPr>
            <w:tcW w:type="pct" w:w="31%"/>
            <w:tcMar>
              <w:top w:type="dxa" w:w="50"/>
              <w:left w:type="dxa" w:w="80"/>
              <w:bottom w:type="dxa" w:w="50"/>
              <w:right w:type="dxa" w:w="80"/>
            </w:tcMar>
          </w:tcPr>
          <w:p>
            <w:pPr>
              <w:spacing w:after="40"/>
            </w:pPr>
            <w:r>
              <w:rPr>
                <w:color w:val="0B2748"/>
                <w:sz w:val="18"/>
                <w:szCs w:val="18"/>
              </w:rPr>
              <w:t xml:space="preserve">Output 4.1  Number of healthcare providers receiving mentorship or supportive supervision visits</w:t>
            </w:r>
          </w:p>
          <w:p>
            <w:pPr>
              <w:spacing w:after="40"/>
            </w:pPr>
            <w:r>
              <w:rPr>
                <w:color w:val="0B2748"/>
                <w:sz w:val="18"/>
                <w:szCs w:val="18"/>
              </w:rPr>
              <w:t xml:space="preserve">Output 4.2  Proportion of supported community health workers who received at least one structured supportive supervision visit in the reporting quarter</w:t>
            </w:r>
          </w:p>
        </w:tc>
        <w:tc>
          <w:tcPr>
            <w:tcW w:type="pct" w:w="16%"/>
            <w:tcMar>
              <w:top w:type="dxa" w:w="50"/>
              <w:left w:type="dxa" w:w="80"/>
              <w:bottom w:type="dxa" w:w="50"/>
              <w:right w:type="dxa" w:w="80"/>
            </w:tcMar>
          </w:tcPr>
          <w:p>
            <w:pPr>
              <w:spacing w:after="40"/>
            </w:pPr>
            <w:r>
              <w:rPr>
                <w:color w:val="0B2748"/>
                <w:sz w:val="18"/>
                <w:szCs w:val="18"/>
              </w:rPr>
              <w:t xml:space="preserve">Mentorship and supervision visit logs, signed by both the supervisor and the provider, will be collected on a quarterly basis</w:t>
            </w:r>
          </w:p>
          <w:p>
            <w:pPr>
              <w:spacing w:after="40"/>
            </w:pPr>
            <w:r>
              <w:rPr>
                <w:color w:val="0B2748"/>
                <w:sz w:val="18"/>
                <w:szCs w:val="18"/>
              </w:rPr>
              <w:t xml:space="preserve">CHW supervision logs aggregated quarterly from supervising facilities</w:t>
            </w:r>
          </w:p>
        </w:tc>
        <w:tc>
          <w:tcPr>
            <w:tcW w:type="pct" w:w="10%"/>
            <w:tcMar>
              <w:top w:type="dxa" w:w="50"/>
              <w:left w:type="dxa" w:w="80"/>
              <w:bottom w:type="dxa" w:w="50"/>
              <w:right w:type="dxa" w:w="80"/>
            </w:tcMar>
          </w:tcPr>
          <w:p>
            <w:pPr>
              <w:spacing w:after="40"/>
            </w:pPr>
            <w:r>
              <w:rPr>
                <w:color w:val="0B2748"/>
                <w:sz w:val="18"/>
                <w:szCs w:val="18"/>
              </w:rPr>
              <w:t xml:space="preserve">Quarterly</w:t>
            </w:r>
          </w:p>
          <w:p>
            <w:pPr>
              <w:spacing w:after="40"/>
            </w:pPr>
            <w:r>
              <w:rPr>
                <w:color w:val="0B2748"/>
                <w:sz w:val="18"/>
                <w:szCs w:val="18"/>
              </w:rPr>
              <w:t xml:space="preserve">Quarterly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Output 5: Community Engagement and Demand</w:t>
            </w:r>
          </w:p>
        </w:tc>
        <w:tc>
          <w:tcPr>
            <w:tcW w:type="pct" w:w="30%"/>
            <w:tcMar>
              <w:top w:type="dxa" w:w="50"/>
              <w:left w:type="dxa" w:w="80"/>
              <w:bottom w:type="dxa" w:w="50"/>
              <w:right w:type="dxa" w:w="80"/>
            </w:tcMar>
          </w:tcPr>
          <w:p>
            <w:pPr>
              <w:spacing w:after="60"/>
            </w:pPr>
            <w:r>
              <w:rPr>
                <w:color w:val="0B2748"/>
                <w:sz w:val="18"/>
                <w:szCs w:val="18"/>
              </w:rPr>
              <w:t xml:space="preserve">Community health committees and household-level demand generation activities engaging caregivers and influencers</w:t>
            </w:r>
          </w:p>
        </w:tc>
        <w:tc>
          <w:tcPr>
            <w:tcW w:type="pct" w:w="31%"/>
            <w:tcMar>
              <w:top w:type="dxa" w:w="50"/>
              <w:left w:type="dxa" w:w="80"/>
              <w:bottom w:type="dxa" w:w="50"/>
              <w:right w:type="dxa" w:w="80"/>
            </w:tcMar>
          </w:tcPr>
          <w:p>
            <w:pPr>
              <w:spacing w:after="40"/>
            </w:pPr>
            <w:r>
              <w:rPr>
                <w:color w:val="0B2748"/>
                <w:sz w:val="18"/>
                <w:szCs w:val="18"/>
              </w:rPr>
              <w:t xml:space="preserve">Output 5.1  Number of community health education sessions conducted on preventive primary healthcare practices</w:t>
            </w:r>
          </w:p>
          <w:p>
            <w:pPr>
              <w:spacing w:after="40"/>
            </w:pPr>
            <w:r>
              <w:rPr>
                <w:color w:val="0B2748"/>
                <w:sz w:val="18"/>
                <w:szCs w:val="18"/>
              </w:rPr>
              <w:t xml:space="preserve">Output 5.2  Number of community health committees functional holding regular minuted meetings at least quarterly</w:t>
            </w:r>
          </w:p>
        </w:tc>
        <w:tc>
          <w:tcPr>
            <w:tcW w:type="pct" w:w="16%"/>
            <w:tcMar>
              <w:top w:type="dxa" w:w="50"/>
              <w:left w:type="dxa" w:w="80"/>
              <w:bottom w:type="dxa" w:w="50"/>
              <w:right w:type="dxa" w:w="80"/>
            </w:tcMar>
          </w:tcPr>
          <w:p>
            <w:pPr>
              <w:spacing w:after="40"/>
            </w:pPr>
            <w:r>
              <w:rPr>
                <w:color w:val="0B2748"/>
                <w:sz w:val="18"/>
                <w:szCs w:val="18"/>
              </w:rPr>
              <w:t xml:space="preserve">Session facilitator reports and attendance sheets will be collected on a monthly basis</w:t>
            </w:r>
          </w:p>
          <w:p>
            <w:pPr>
              <w:spacing w:after="40"/>
            </w:pPr>
            <w:r>
              <w:rPr>
                <w:color w:val="0B2748"/>
                <w:sz w:val="18"/>
                <w:szCs w:val="18"/>
              </w:rPr>
              <w:t xml:space="preserve">Review of meeting minutes and committee records during quarterly program visits</w:t>
            </w:r>
          </w:p>
        </w:tc>
        <w:tc>
          <w:tcPr>
            <w:tcW w:type="pct" w:w="10%"/>
            <w:tcMar>
              <w:top w:type="dxa" w:w="50"/>
              <w:left w:type="dxa" w:w="80"/>
              <w:bottom w:type="dxa" w:w="50"/>
              <w:right w:type="dxa" w:w="80"/>
            </w:tcMar>
          </w:tcPr>
          <w:p>
            <w:pPr>
              <w:spacing w:after="40"/>
            </w:pPr>
            <w:r>
              <w:rPr>
                <w:color w:val="0B2748"/>
                <w:sz w:val="18"/>
                <w:szCs w:val="18"/>
              </w:rPr>
              <w:t xml:space="preserve">Monthly</w:t>
            </w:r>
          </w:p>
          <w:p>
            <w:pPr>
              <w:spacing w:after="40"/>
            </w:pPr>
            <w:r>
              <w:rPr>
                <w:color w:val="0B2748"/>
                <w:sz w:val="18"/>
                <w:szCs w:val="18"/>
              </w:rPr>
              <w:t xml:space="preserve">Quarterly</w:t>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1</w:t>
            </w:r>
          </w:p>
        </w:tc>
        <w:tc>
          <w:tcPr>
            <w:tcW w:type="pct" w:w="30%"/>
            <w:tcMar>
              <w:top w:type="dxa" w:w="50"/>
              <w:left w:type="dxa" w:w="80"/>
              <w:bottom w:type="dxa" w:w="50"/>
              <w:right w:type="dxa" w:w="80"/>
            </w:tcMar>
          </w:tcPr>
          <w:p>
            <w:pPr>
              <w:spacing w:after="60"/>
            </w:pPr>
            <w:r>
              <w:rPr>
                <w:color w:val="0B2748"/>
                <w:sz w:val="18"/>
                <w:szCs w:val="18"/>
              </w:rPr>
              <w:t xml:space="preserve">Develop and deploy a standardized household service protocol integrating case management, growth promotion, immunization tracing, and referral pathways</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2</w:t>
            </w:r>
          </w:p>
        </w:tc>
        <w:tc>
          <w:tcPr>
            <w:tcW w:type="pct" w:w="30%"/>
            <w:tcMar>
              <w:top w:type="dxa" w:w="50"/>
              <w:left w:type="dxa" w:w="80"/>
              <w:bottom w:type="dxa" w:w="50"/>
              <w:right w:type="dxa" w:w="80"/>
            </w:tcMar>
          </w:tcPr>
          <w:p>
            <w:pPr>
              <w:spacing w:after="60"/>
            </w:pPr>
            <w:r>
              <w:rPr>
                <w:color w:val="0B2748"/>
                <w:sz w:val="18"/>
                <w:szCs w:val="18"/>
              </w:rPr>
              <w:t xml:space="preserve">Procure and distribute CHW kits, commodities, and reporting tools through a quantified replenishment system integrated with the primary healthcare supply chain</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3</w:t>
            </w:r>
          </w:p>
        </w:tc>
        <w:tc>
          <w:tcPr>
            <w:tcW w:type="pct" w:w="30%"/>
            <w:tcMar>
              <w:top w:type="dxa" w:w="50"/>
              <w:left w:type="dxa" w:w="80"/>
              <w:bottom w:type="dxa" w:w="50"/>
              <w:right w:type="dxa" w:w="80"/>
            </w:tcMar>
          </w:tcPr>
          <w:p>
            <w:pPr>
              <w:spacing w:after="60"/>
            </w:pPr>
            <w:r>
              <w:rPr>
                <w:color w:val="0B2748"/>
                <w:sz w:val="18"/>
                <w:szCs w:val="18"/>
              </w:rPr>
              <w:t xml:space="preserve">Recruit, train, and credential CHWs against the national community health curriculum, with refresher training on integrated case management</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4</w:t>
            </w:r>
          </w:p>
        </w:tc>
        <w:tc>
          <w:tcPr>
            <w:tcW w:type="pct" w:w="30%"/>
            <w:tcMar>
              <w:top w:type="dxa" w:w="50"/>
              <w:left w:type="dxa" w:w="80"/>
              <w:bottom w:type="dxa" w:w="50"/>
              <w:right w:type="dxa" w:w="80"/>
            </w:tcMar>
          </w:tcPr>
          <w:p>
            <w:pPr>
              <w:spacing w:after="60"/>
            </w:pPr>
            <w:r>
              <w:rPr>
                <w:color w:val="0B2748"/>
                <w:sz w:val="18"/>
                <w:szCs w:val="18"/>
              </w:rPr>
              <w:t xml:space="preserve">Establish a supportive supervision schedule with checklists, performance dashboards, and quarterly review meetings between CHWs and supervising facility staff</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r>
        <w:trPr>
          <w:cantSplit/>
        </w:trPr>
        <w:tc>
          <w:tcPr>
            <w:tcW w:type="pct" w:w="13%"/>
            <w:tcMar>
              <w:top w:type="dxa" w:w="50"/>
              <w:left w:type="dxa" w:w="80"/>
              <w:bottom w:type="dxa" w:w="50"/>
              <w:right w:type="dxa" w:w="80"/>
            </w:tcMar>
          </w:tcPr>
          <w:p>
            <w:pPr>
              <w:spacing w:after="60"/>
            </w:pPr>
            <w:r>
              <w:rPr>
                <w:b/>
                <w:bCs/>
                <w:color w:val="0B2748"/>
                <w:sz w:val="18"/>
                <w:szCs w:val="18"/>
              </w:rPr>
              <w:t xml:space="preserve">Activity 5</w:t>
            </w:r>
          </w:p>
        </w:tc>
        <w:tc>
          <w:tcPr>
            <w:tcW w:type="pct" w:w="30%"/>
            <w:tcMar>
              <w:top w:type="dxa" w:w="50"/>
              <w:left w:type="dxa" w:w="80"/>
              <w:bottom w:type="dxa" w:w="50"/>
              <w:right w:type="dxa" w:w="80"/>
            </w:tcMar>
          </w:tcPr>
          <w:p>
            <w:pPr>
              <w:spacing w:after="60"/>
            </w:pPr>
            <w:r>
              <w:rPr>
                <w:color w:val="0B2748"/>
                <w:sz w:val="18"/>
                <w:szCs w:val="18"/>
              </w:rPr>
              <w:t xml:space="preserve">Facilitate community dialogue sessions and household visit campaigns to build trust, surface barriers, and promote timely care-seeking</w:t>
            </w:r>
          </w:p>
        </w:tc>
        <w:tc>
          <w:tcPr>
            <w:tcW w:type="pct" w:w="31%"/>
            <w:tcMar>
              <w:top w:type="dxa" w:w="50"/>
              <w:left w:type="dxa" w:w="80"/>
              <w:bottom w:type="dxa" w:w="50"/>
              <w:right w:type="dxa" w:w="80"/>
            </w:tcMar>
          </w:tcPr>
          <w:p>
            <w:pPr>
              <w:spacing w:after="60"/>
            </w:pPr>
            <w:r>
              <w:rPr>
                <w:color w:val="0B2748"/>
                <w:sz w:val="18"/>
                <w:szCs w:val="18"/>
              </w:rPr>
              <w:t xml:space="preserve"/>
            </w:r>
          </w:p>
        </w:tc>
        <w:tc>
          <w:tcPr>
            <w:tcW w:type="pct" w:w="16%"/>
            <w:tcMar>
              <w:top w:type="dxa" w:w="50"/>
              <w:left w:type="dxa" w:w="80"/>
              <w:bottom w:type="dxa" w:w="50"/>
              <w:right w:type="dxa" w:w="80"/>
            </w:tcMar>
          </w:tcPr>
          <w:p>
            <w:pPr>
              <w:spacing w:after="60"/>
            </w:pPr>
            <w:r>
              <w:rPr>
                <w:color w:val="0B2748"/>
                <w:sz w:val="18"/>
                <w:szCs w:val="18"/>
              </w:rPr>
              <w:t xml:space="preserve"/>
            </w:r>
          </w:p>
        </w:tc>
        <w:tc>
          <w:tcPr>
            <w:tcW w:type="pct" w:w="10%"/>
            <w:tcMar>
              <w:top w:type="dxa" w:w="50"/>
              <w:left w:type="dxa" w:w="80"/>
              <w:bottom w:type="dxa" w:w="50"/>
              <w:right w:type="dxa" w:w="80"/>
            </w:tcMar>
          </w:tcPr>
          <w:p>
            <w:pPr>
              <w:spacing w:after="60"/>
            </w:pPr>
            <w:r>
              <w:rPr>
                <w:color w:val="0B2748"/>
                <w:sz w:val="18"/>
                <w:szCs w:val="18"/>
              </w:rPr>
              <w:t xml:space="preserve"/>
            </w:r>
          </w:p>
        </w:tc>
      </w:tr>
    </w:tbl>
    <w:p>
      <w:pPr>
        <w:keepNext/>
        <w:spacing w:after="100" w:before="280"/>
      </w:pPr>
      <w:r>
        <w:rPr>
          <w:b/>
          <w:bCs/>
          <w:color w:val="0B2748"/>
          <w:sz w:val="28"/>
          <w:szCs w:val="28"/>
        </w:rPr>
        <w:t xml:space="preserve">Indicator Details</w:t>
      </w:r>
    </w:p>
    <w:p>
      <w:pPr>
        <w:keepNext/>
        <w:spacing w:after="40" w:before="160"/>
      </w:pPr>
      <w:r>
        <w:rPr>
          <w:b/>
          <w:bCs/>
          <w:color w:val="0B2748"/>
          <w:sz w:val="20"/>
          <w:szCs w:val="20"/>
        </w:rPr>
        <w:t xml:space="preserve">Impact 1.1  Under-five mortality rate per 1,000 live births</w:t>
      </w:r>
    </w:p>
    <w:p>
      <w:pPr>
        <w:spacing w:after="30"/>
      </w:pPr>
      <w:r>
        <w:rPr>
          <w:b/>
          <w:bCs/>
          <w:color w:val="0B2748"/>
          <w:sz w:val="19"/>
          <w:szCs w:val="19"/>
        </w:rPr>
        <w:t xml:space="preserve">Definition: </w:t>
      </w:r>
      <w:r>
        <w:rPr>
          <w:color w:val="0B2748"/>
          <w:sz w:val="19"/>
          <w:szCs w:val="19"/>
        </w:rPr>
        <w:t xml:space="preserve">The probability that a newborn baby will die before reaching its fifth birthday. This is calculated as the number of deaths of children under five years of age in a given year, divided by the number of live births in the same year, multiplied by 1,000. Data is typically sourced from national vital registration systems or demographic and health surveys (DHS).</w:t>
      </w:r>
    </w:p>
    <w:p>
      <w:pPr>
        <w:spacing w:after="30"/>
      </w:pPr>
      <w:r>
        <w:rPr>
          <w:b/>
          <w:bCs/>
          <w:color w:val="0B2748"/>
          <w:sz w:val="19"/>
          <w:szCs w:val="19"/>
        </w:rPr>
        <w:t xml:space="preserve">Disaggregation: </w:t>
      </w:r>
      <w:r>
        <w:rPr>
          <w:color w:val="0B2748"/>
          <w:sz w:val="19"/>
          <w:szCs w:val="19"/>
        </w:rPr>
        <w:t xml:space="preserve">sex, age group, disability status, location, wealth quintile</w:t>
      </w:r>
    </w:p>
    <w:p>
      <w:pPr>
        <w:spacing w:after="30"/>
      </w:pPr>
      <w:r>
        <w:rPr>
          <w:b/>
          <w:bCs/>
          <w:color w:val="0B2748"/>
          <w:sz w:val="19"/>
          <w:szCs w:val="19"/>
        </w:rPr>
        <w:t xml:space="preserve">Data source: </w:t>
      </w:r>
      <w:r>
        <w:rPr>
          <w:color w:val="0B2748"/>
          <w:sz w:val="19"/>
          <w:szCs w:val="19"/>
        </w:rPr>
        <w:t xml:space="preserve">National demographic and health surveys (e.g., DHS, MICS) or national vital registration systems</w:t>
      </w:r>
    </w:p>
    <w:p>
      <w:pPr>
        <w:spacing w:after="30"/>
      </w:pPr>
      <w:r>
        <w:rPr>
          <w:b/>
          <w:bCs/>
          <w:color w:val="0B2748"/>
          <w:sz w:val="19"/>
          <w:szCs w:val="19"/>
        </w:rPr>
        <w:t xml:space="preserve">Frequency: </w:t>
      </w:r>
      <w:r>
        <w:rPr>
          <w:color w:val="0B2748"/>
          <w:sz w:val="19"/>
          <w:szCs w:val="19"/>
        </w:rPr>
        <w:t xml:space="preserve">Baseline, endline (suggested)</w:t>
      </w:r>
    </w:p>
    <w:p>
      <w:pPr>
        <w:keepNext/>
        <w:spacing w:after="40" w:before="160"/>
      </w:pPr>
      <w:r>
        <w:rPr>
          <w:b/>
          <w:bCs/>
          <w:color w:val="0B2748"/>
          <w:sz w:val="20"/>
          <w:szCs w:val="20"/>
        </w:rPr>
        <w:t xml:space="preserve">Outcome 1.1  Proportion of women of reproductive age in supported communities utilizing antenatal care services at least once during pregnancy</w:t>
      </w:r>
    </w:p>
    <w:p>
      <w:pPr>
        <w:spacing w:after="30"/>
      </w:pPr>
      <w:r>
        <w:rPr>
          <w:b/>
          <w:bCs/>
          <w:color w:val="0B2748"/>
          <w:sz w:val="19"/>
          <w:szCs w:val="19"/>
        </w:rPr>
        <w:t xml:space="preserve">Definition: </w:t>
      </w:r>
      <w:r>
        <w:rPr>
          <w:color w:val="0B2748"/>
          <w:sz w:val="19"/>
          <w:szCs w:val="19"/>
        </w:rPr>
        <w:t xml:space="preserve">This indicator measures the proportion of women aged 15-49 residing in program-supported areas who report attending at least one antenatal care (ANC) visit during their most recent pregnancy. The numerator is the number of women who utilized ANC services, and the denominator is the total number of women of reproductive age in the supported communities who had a pregnancy in the reporting period. Utilization is defined as receiving a consultation with a trained health professional during pregnancy.</w:t>
      </w:r>
    </w:p>
    <w:p>
      <w:pPr>
        <w:spacing w:after="30"/>
      </w:pPr>
      <w:r>
        <w:rPr>
          <w:b/>
          <w:bCs/>
          <w:color w:val="0B2748"/>
          <w:sz w:val="19"/>
          <w:szCs w:val="19"/>
        </w:rPr>
        <w:t xml:space="preserve">Disaggregation: </w:t>
      </w:r>
      <w:r>
        <w:rPr>
          <w:color w:val="0B2748"/>
          <w:sz w:val="19"/>
          <w:szCs w:val="19"/>
        </w:rPr>
        <w:t xml:space="preserve">sex, age group, disability status, location, wealth quintile</w:t>
      </w:r>
    </w:p>
    <w:p>
      <w:pPr>
        <w:spacing w:after="30"/>
      </w:pPr>
      <w:r>
        <w:rPr>
          <w:b/>
          <w:bCs/>
          <w:color w:val="0B2748"/>
          <w:sz w:val="19"/>
          <w:szCs w:val="19"/>
        </w:rPr>
        <w:t xml:space="preserve">Data source: </w:t>
      </w:r>
      <w:r>
        <w:rPr>
          <w:color w:val="0B2748"/>
          <w:sz w:val="19"/>
          <w:szCs w:val="19"/>
        </w:rPr>
        <w:t xml:space="preserve">Household surveys conducted at baseline and endline, using a structured questionnaire administered to women of reproductive age who have had a pregnancy in the last 12 months</w:t>
      </w:r>
    </w:p>
    <w:p>
      <w:pPr>
        <w:spacing w:after="30"/>
      </w:pPr>
      <w:r>
        <w:rPr>
          <w:b/>
          <w:bCs/>
          <w:color w:val="0B2748"/>
          <w:sz w:val="19"/>
          <w:szCs w:val="19"/>
        </w:rPr>
        <w:t xml:space="preserve">Frequency: </w:t>
      </w:r>
      <w:r>
        <w:rPr>
          <w:color w:val="0B2748"/>
          <w:sz w:val="19"/>
          <w:szCs w:val="19"/>
        </w:rPr>
        <w:t xml:space="preserve">Baseline, endline</w:t>
      </w:r>
    </w:p>
    <w:p>
      <w:pPr>
        <w:keepNext/>
        <w:spacing w:after="40" w:before="160"/>
      </w:pPr>
      <w:r>
        <w:rPr>
          <w:b/>
          <w:bCs/>
          <w:color w:val="0B2748"/>
          <w:sz w:val="20"/>
          <w:szCs w:val="20"/>
        </w:rPr>
        <w:t xml:space="preserve">Outcome 1.2  Proportion of children under five years old in supported communities who have received a complete set of essential immunizations according to national guidelines</w:t>
      </w:r>
    </w:p>
    <w:p>
      <w:pPr>
        <w:spacing w:after="30"/>
      </w:pPr>
      <w:r>
        <w:rPr>
          <w:b/>
          <w:bCs/>
          <w:color w:val="0B2748"/>
          <w:sz w:val="19"/>
          <w:szCs w:val="19"/>
        </w:rPr>
        <w:t xml:space="preserve">Definition: </w:t>
      </w:r>
      <w:r>
        <w:rPr>
          <w:color w:val="0B2748"/>
          <w:sz w:val="19"/>
          <w:szCs w:val="19"/>
        </w:rPr>
        <w:t xml:space="preserve">This indicator measures the proportion of children aged 0-59 months residing in program-supported areas who have received all recommended vaccines as per the national immunization schedule. The numerator is the count of fully immunized children, and the denominator is the total number of children under five in the supported communities. 'Complete set' is defined by the national immunization program's schedule.</w:t>
      </w:r>
    </w:p>
    <w:p>
      <w:pPr>
        <w:spacing w:after="30"/>
      </w:pPr>
      <w:r>
        <w:rPr>
          <w:b/>
          <w:bCs/>
          <w:color w:val="0B2748"/>
          <w:sz w:val="19"/>
          <w:szCs w:val="19"/>
        </w:rPr>
        <w:t xml:space="preserve">Disaggregation: </w:t>
      </w:r>
      <w:r>
        <w:rPr>
          <w:color w:val="0B2748"/>
          <w:sz w:val="19"/>
          <w:szCs w:val="19"/>
        </w:rPr>
        <w:t xml:space="preserve">sex, age group, disability status, location, wealth quintile</w:t>
      </w:r>
    </w:p>
    <w:p>
      <w:pPr>
        <w:spacing w:after="30"/>
      </w:pPr>
      <w:r>
        <w:rPr>
          <w:b/>
          <w:bCs/>
          <w:color w:val="0B2748"/>
          <w:sz w:val="19"/>
          <w:szCs w:val="19"/>
        </w:rPr>
        <w:t xml:space="preserve">Data source: </w:t>
      </w:r>
      <w:r>
        <w:rPr>
          <w:color w:val="0B2748"/>
          <w:sz w:val="19"/>
          <w:szCs w:val="19"/>
        </w:rPr>
        <w:t xml:space="preserve">Household surveys with vaccination card review and/or maternal recall at baseline and endline. Facility records can be used for triangulation</w:t>
      </w:r>
    </w:p>
    <w:p>
      <w:pPr>
        <w:spacing w:after="30"/>
      </w:pPr>
      <w:r>
        <w:rPr>
          <w:b/>
          <w:bCs/>
          <w:color w:val="0B2748"/>
          <w:sz w:val="19"/>
          <w:szCs w:val="19"/>
        </w:rPr>
        <w:t xml:space="preserve">Frequency: </w:t>
      </w:r>
      <w:r>
        <w:rPr>
          <w:color w:val="0B2748"/>
          <w:sz w:val="19"/>
          <w:szCs w:val="19"/>
        </w:rPr>
        <w:t xml:space="preserve">Baseline, endline</w:t>
      </w:r>
    </w:p>
    <w:p>
      <w:pPr>
        <w:keepNext/>
        <w:spacing w:after="40" w:before="160"/>
      </w:pPr>
      <w:r>
        <w:rPr>
          <w:b/>
          <w:bCs/>
          <w:color w:val="0B2748"/>
          <w:sz w:val="20"/>
          <w:szCs w:val="20"/>
        </w:rPr>
        <w:t xml:space="preserve">Outcome 2.1  Proportion of community health workers meeting performance standards on a structured supervision checklist</w:t>
      </w:r>
    </w:p>
    <w:p>
      <w:pPr>
        <w:spacing w:after="30"/>
      </w:pPr>
      <w:r>
        <w:rPr>
          <w:b/>
          <w:bCs/>
          <w:color w:val="0B2748"/>
          <w:sz w:val="19"/>
          <w:szCs w:val="19"/>
        </w:rPr>
        <w:t xml:space="preserve">Definition: </w:t>
      </w:r>
      <w:r>
        <w:rPr>
          <w:color w:val="0B2748"/>
          <w:sz w:val="19"/>
          <w:szCs w:val="19"/>
        </w:rPr>
        <w:t xml:space="preserve">This indicator measures the proportion of trained and deployed CHWs who score at or above an agreed performance threshold (typically 80 percent) on the national or program-standard CHW supervision checklist covering case management, counseling, and documentation. The numerator is the number of CHWs meeting the standard at most recent supervision; the denominator is the total number of active CHWs supervised in the reporting period.</w:t>
      </w:r>
    </w:p>
    <w:p>
      <w:pPr>
        <w:spacing w:after="30"/>
      </w:pPr>
      <w:r>
        <w:rPr>
          <w:b/>
          <w:bCs/>
          <w:color w:val="0B2748"/>
          <w:sz w:val="19"/>
          <w:szCs w:val="19"/>
        </w:rPr>
        <w:t xml:space="preserve">Disaggregation: </w:t>
      </w:r>
      <w:r>
        <w:rPr>
          <w:color w:val="0B2748"/>
          <w:sz w:val="19"/>
          <w:szCs w:val="19"/>
        </w:rPr>
        <w:t xml:space="preserve">sex, age group, disability status, location, wealth quintile</w:t>
      </w:r>
    </w:p>
    <w:p>
      <w:pPr>
        <w:spacing w:after="30"/>
      </w:pPr>
      <w:r>
        <w:rPr>
          <w:b/>
          <w:bCs/>
          <w:color w:val="0B2748"/>
          <w:sz w:val="19"/>
          <w:szCs w:val="19"/>
        </w:rPr>
        <w:t xml:space="preserve">Data source: </w:t>
      </w:r>
      <w:r>
        <w:rPr>
          <w:color w:val="0B2748"/>
          <w:sz w:val="19"/>
          <w:szCs w:val="19"/>
        </w:rPr>
        <w:t xml:space="preserve">Routine supportive supervision visits using a structured CHW performance checklist; results aggregated quarterly from supervision records</w:t>
      </w:r>
    </w:p>
    <w:p>
      <w:pPr>
        <w:spacing w:after="30"/>
      </w:pPr>
      <w:r>
        <w:rPr>
          <w:b/>
          <w:bCs/>
          <w:color w:val="0B2748"/>
          <w:sz w:val="19"/>
          <w:szCs w:val="19"/>
        </w:rPr>
        <w:t xml:space="preserve">Frequency: </w:t>
      </w:r>
      <w:r>
        <w:rPr>
          <w:color w:val="0B2748"/>
          <w:sz w:val="19"/>
          <w:szCs w:val="19"/>
        </w:rPr>
        <w:t xml:space="preserve">Quarterly</w:t>
      </w:r>
    </w:p>
    <w:p>
      <w:pPr>
        <w:keepNext/>
        <w:spacing w:after="40" w:before="160"/>
      </w:pPr>
      <w:r>
        <w:rPr>
          <w:b/>
          <w:bCs/>
          <w:color w:val="0B2748"/>
          <w:sz w:val="20"/>
          <w:szCs w:val="20"/>
        </w:rPr>
        <w:t xml:space="preserve">Outcome 3.1  Proportion of individuals in supported communities who can correctly identify the primary health facility for seeking treatment for common ailments</w:t>
      </w:r>
    </w:p>
    <w:p>
      <w:pPr>
        <w:spacing w:after="30"/>
      </w:pPr>
      <w:r>
        <w:rPr>
          <w:b/>
          <w:bCs/>
          <w:color w:val="0B2748"/>
          <w:sz w:val="19"/>
          <w:szCs w:val="19"/>
        </w:rPr>
        <w:t xml:space="preserve">Definition: </w:t>
      </w:r>
      <w:r>
        <w:rPr>
          <w:color w:val="0B2748"/>
          <w:sz w:val="19"/>
          <w:szCs w:val="19"/>
        </w:rPr>
        <w:t xml:space="preserve">This indicator measures the proportion of individuals in program-supported areas who can correctly name or identify the designated primary health facility in their community or nearest accessible location for seeking treatment for common illnesses. The numerator is the number of individuals who can correctly identify the facility, and the denominator is the total number of individuals surveyed in the supported communities. Correct identification includes the facility name and/or its location.</w:t>
      </w:r>
    </w:p>
    <w:p>
      <w:pPr>
        <w:spacing w:after="30"/>
      </w:pPr>
      <w:r>
        <w:rPr>
          <w:b/>
          <w:bCs/>
          <w:color w:val="0B2748"/>
          <w:sz w:val="19"/>
          <w:szCs w:val="19"/>
        </w:rPr>
        <w:t xml:space="preserve">Disaggregation: </w:t>
      </w:r>
      <w:r>
        <w:rPr>
          <w:color w:val="0B2748"/>
          <w:sz w:val="19"/>
          <w:szCs w:val="19"/>
        </w:rPr>
        <w:t xml:space="preserve">sex, age group, disability status, location, wealth quintile</w:t>
      </w:r>
    </w:p>
    <w:p>
      <w:pPr>
        <w:spacing w:after="30"/>
      </w:pPr>
      <w:r>
        <w:rPr>
          <w:b/>
          <w:bCs/>
          <w:color w:val="0B2748"/>
          <w:sz w:val="19"/>
          <w:szCs w:val="19"/>
        </w:rPr>
        <w:t xml:space="preserve">Data source: </w:t>
      </w:r>
      <w:r>
        <w:rPr>
          <w:color w:val="0B2748"/>
          <w:sz w:val="19"/>
          <w:szCs w:val="19"/>
        </w:rPr>
        <w:t xml:space="preserve">Household surveys at baseline and endline, using a structured questionnaire asking about preferred or designated health-seeking points</w:t>
      </w:r>
    </w:p>
    <w:p>
      <w:pPr>
        <w:spacing w:after="30"/>
      </w:pPr>
      <w:r>
        <w:rPr>
          <w:b/>
          <w:bCs/>
          <w:color w:val="0B2748"/>
          <w:sz w:val="19"/>
          <w:szCs w:val="19"/>
        </w:rPr>
        <w:t xml:space="preserve">Frequency: </w:t>
      </w:r>
      <w:r>
        <w:rPr>
          <w:color w:val="0B2748"/>
          <w:sz w:val="19"/>
          <w:szCs w:val="19"/>
        </w:rPr>
        <w:t xml:space="preserve">Baseline, endline</w:t>
      </w:r>
    </w:p>
    <w:p>
      <w:pPr>
        <w:keepNext/>
        <w:spacing w:after="40" w:before="160"/>
      </w:pPr>
      <w:r>
        <w:rPr>
          <w:b/>
          <w:bCs/>
          <w:color w:val="0B2748"/>
          <w:sz w:val="20"/>
          <w:szCs w:val="20"/>
        </w:rPr>
        <w:t xml:space="preserve">Outcome 3.2  Proportion of caregivers reporting trust in community health workers as a first point of contact for child illness</w:t>
      </w:r>
    </w:p>
    <w:p>
      <w:pPr>
        <w:spacing w:after="30"/>
      </w:pPr>
      <w:r>
        <w:rPr>
          <w:b/>
          <w:bCs/>
          <w:color w:val="0B2748"/>
          <w:sz w:val="19"/>
          <w:szCs w:val="19"/>
        </w:rPr>
        <w:t xml:space="preserve">Definition: </w:t>
      </w:r>
      <w:r>
        <w:rPr>
          <w:color w:val="0B2748"/>
          <w:sz w:val="19"/>
          <w:szCs w:val="19"/>
        </w:rPr>
        <w:t xml:space="preserve">Measures caregiver confidence in CHW-delivered services. The numerator is the number of surveyed caregivers reporting they would seek CHW advice or referral as a first action when a child shows danger signs; the denominator is the total number of caregivers surveyed.</w:t>
      </w:r>
    </w:p>
    <w:p>
      <w:pPr>
        <w:spacing w:after="30"/>
      </w:pPr>
      <w:r>
        <w:rPr>
          <w:b/>
          <w:bCs/>
          <w:color w:val="0B2748"/>
          <w:sz w:val="19"/>
          <w:szCs w:val="19"/>
        </w:rPr>
        <w:t xml:space="preserve">Disaggregation: </w:t>
      </w:r>
      <w:r>
        <w:rPr>
          <w:color w:val="0B2748"/>
          <w:sz w:val="19"/>
          <w:szCs w:val="19"/>
        </w:rPr>
        <w:t xml:space="preserve">sex, age group, disability status, location, wealth quintile</w:t>
      </w:r>
    </w:p>
    <w:p>
      <w:pPr>
        <w:spacing w:after="30"/>
      </w:pPr>
      <w:r>
        <w:rPr>
          <w:b/>
          <w:bCs/>
          <w:color w:val="0B2748"/>
          <w:sz w:val="19"/>
          <w:szCs w:val="19"/>
        </w:rPr>
        <w:t xml:space="preserve">Data source: </w:t>
      </w:r>
      <w:r>
        <w:rPr>
          <w:color w:val="0B2748"/>
          <w:sz w:val="19"/>
          <w:szCs w:val="19"/>
        </w:rPr>
        <w:t xml:space="preserve">Household survey at baseline and endline, with a structured trust and care-seeking module</w:t>
      </w:r>
    </w:p>
    <w:p>
      <w:pPr>
        <w:spacing w:after="30"/>
      </w:pPr>
      <w:r>
        <w:rPr>
          <w:b/>
          <w:bCs/>
          <w:color w:val="0B2748"/>
          <w:sz w:val="19"/>
          <w:szCs w:val="19"/>
        </w:rPr>
        <w:t xml:space="preserve">Frequency: </w:t>
      </w:r>
      <w:r>
        <w:rPr>
          <w:color w:val="0B2748"/>
          <w:sz w:val="19"/>
          <w:szCs w:val="19"/>
        </w:rPr>
        <w:t xml:space="preserve">Baseline, endline</w:t>
      </w:r>
    </w:p>
    <w:p>
      <w:pPr>
        <w:keepNext/>
        <w:spacing w:after="40" w:before="160"/>
      </w:pPr>
      <w:r>
        <w:rPr>
          <w:b/>
          <w:bCs/>
          <w:color w:val="0B2748"/>
          <w:sz w:val="20"/>
          <w:szCs w:val="20"/>
        </w:rPr>
        <w:t xml:space="preserve">Output 1.1  Number of household visits conducted by community health workers delivering the standardized community health service package</w:t>
      </w:r>
    </w:p>
    <w:p>
      <w:pPr>
        <w:spacing w:after="30"/>
      </w:pPr>
      <w:r>
        <w:rPr>
          <w:b/>
          <w:bCs/>
          <w:color w:val="0B2748"/>
          <w:sz w:val="19"/>
          <w:szCs w:val="19"/>
        </w:rPr>
        <w:t xml:space="preserve">Definition: </w:t>
      </w:r>
      <w:r>
        <w:rPr>
          <w:color w:val="0B2748"/>
          <w:sz w:val="19"/>
          <w:szCs w:val="19"/>
        </w:rPr>
        <w:t xml:space="preserve">Counts documented household contacts during which a CHW delivered one or more elements of the standardized community health service package (integrated community case management, growth promotion, immunization defaulter tracing, referral). Each household visit is counted once per CHW per visit date.</w:t>
      </w:r>
    </w:p>
    <w:p>
      <w:pPr>
        <w:spacing w:after="30"/>
      </w:pPr>
      <w:r>
        <w:rPr>
          <w:b/>
          <w:bCs/>
          <w:color w:val="0B2748"/>
          <w:sz w:val="19"/>
          <w:szCs w:val="19"/>
        </w:rPr>
        <w:t xml:space="preserve">Disaggregation: </w:t>
      </w:r>
      <w:r>
        <w:rPr>
          <w:color w:val="0B2748"/>
          <w:sz w:val="19"/>
          <w:szCs w:val="19"/>
        </w:rPr>
        <w:t xml:space="preserve">None; reported as a total</w:t>
      </w:r>
    </w:p>
    <w:p>
      <w:pPr>
        <w:spacing w:after="30"/>
      </w:pPr>
      <w:r>
        <w:rPr>
          <w:b/>
          <w:bCs/>
          <w:color w:val="0B2748"/>
          <w:sz w:val="19"/>
          <w:szCs w:val="19"/>
        </w:rPr>
        <w:t xml:space="preserve">Data source: </w:t>
      </w:r>
      <w:r>
        <w:rPr>
          <w:color w:val="0B2748"/>
          <w:sz w:val="19"/>
          <w:szCs w:val="19"/>
        </w:rPr>
        <w:t xml:space="preserve">CHW activity registers and routine reporting tools, aggregated monthly</w:t>
      </w:r>
    </w:p>
    <w:p>
      <w:pPr>
        <w:spacing w:after="30"/>
      </w:pPr>
      <w:r>
        <w:rPr>
          <w:b/>
          <w:bCs/>
          <w:color w:val="0B2748"/>
          <w:sz w:val="19"/>
          <w:szCs w:val="19"/>
        </w:rPr>
        <w:t xml:space="preserve">Frequency: </w:t>
      </w:r>
      <w:r>
        <w:rPr>
          <w:color w:val="0B2748"/>
          <w:sz w:val="19"/>
          <w:szCs w:val="19"/>
        </w:rPr>
        <w:t xml:space="preserve">Monthly</w:t>
      </w:r>
    </w:p>
    <w:p>
      <w:pPr>
        <w:keepNext/>
        <w:spacing w:after="40" w:before="160"/>
      </w:pPr>
      <w:r>
        <w:rPr>
          <w:b/>
          <w:bCs/>
          <w:color w:val="0B2748"/>
          <w:sz w:val="20"/>
          <w:szCs w:val="20"/>
        </w:rPr>
        <w:t xml:space="preserve">Output 2.1  Number of essential medicines and health commodities procured and distributed</w:t>
      </w:r>
    </w:p>
    <w:p>
      <w:pPr>
        <w:spacing w:after="30"/>
      </w:pPr>
      <w:r>
        <w:rPr>
          <w:b/>
          <w:bCs/>
          <w:color w:val="0B2748"/>
          <w:sz w:val="19"/>
          <w:szCs w:val="19"/>
        </w:rPr>
        <w:t xml:space="preserve">Definition: </w:t>
      </w:r>
      <w:r>
        <w:rPr>
          <w:color w:val="0B2748"/>
          <w:sz w:val="19"/>
          <w:szCs w:val="19"/>
        </w:rPr>
        <w:t xml:space="preserve">This indicator counts the total quantity of specific essential medicines and health commodities, as defined by a program-approved list, that have been successfully procured and delivered to primary healthcare facilities or distribution points.</w:t>
      </w:r>
    </w:p>
    <w:p>
      <w:pPr>
        <w:spacing w:after="30"/>
      </w:pPr>
      <w:r>
        <w:rPr>
          <w:b/>
          <w:bCs/>
          <w:color w:val="0B2748"/>
          <w:sz w:val="19"/>
          <w:szCs w:val="19"/>
        </w:rPr>
        <w:t xml:space="preserve">Disaggregation: </w:t>
      </w:r>
      <w:r>
        <w:rPr>
          <w:color w:val="0B2748"/>
          <w:sz w:val="19"/>
          <w:szCs w:val="19"/>
        </w:rPr>
        <w:t xml:space="preserve">None; reported as a total</w:t>
      </w:r>
    </w:p>
    <w:p>
      <w:pPr>
        <w:spacing w:after="30"/>
      </w:pPr>
      <w:r>
        <w:rPr>
          <w:b/>
          <w:bCs/>
          <w:color w:val="0B2748"/>
          <w:sz w:val="19"/>
          <w:szCs w:val="19"/>
        </w:rPr>
        <w:t xml:space="preserve">Data source: </w:t>
      </w:r>
      <w:r>
        <w:rPr>
          <w:color w:val="0B2748"/>
          <w:sz w:val="19"/>
          <w:szCs w:val="19"/>
        </w:rPr>
        <w:t xml:space="preserve">Procurement records, warehouse inventory logs, and distribution receipts will be reviewed periodically</w:t>
      </w:r>
    </w:p>
    <w:p>
      <w:pPr>
        <w:spacing w:after="30"/>
      </w:pPr>
      <w:r>
        <w:rPr>
          <w:b/>
          <w:bCs/>
          <w:color w:val="0B2748"/>
          <w:sz w:val="19"/>
          <w:szCs w:val="19"/>
        </w:rPr>
        <w:t xml:space="preserve">Frequency: </w:t>
      </w:r>
      <w:r>
        <w:rPr>
          <w:color w:val="0B2748"/>
          <w:sz w:val="19"/>
          <w:szCs w:val="19"/>
        </w:rPr>
        <w:t xml:space="preserve">Quarterly (suggested)</w:t>
      </w:r>
    </w:p>
    <w:p>
      <w:pPr>
        <w:keepNext/>
        <w:spacing w:after="40" w:before="160"/>
      </w:pPr>
      <w:r>
        <w:rPr>
          <w:b/>
          <w:bCs/>
          <w:color w:val="0B2748"/>
          <w:sz w:val="20"/>
          <w:szCs w:val="20"/>
        </w:rPr>
        <w:t xml:space="preserve">Output 2.2  Proportion of supported community health workers with no stock-out of tracer commodities at the most recent supervision visit</w:t>
      </w:r>
    </w:p>
    <w:p>
      <w:pPr>
        <w:spacing w:after="30"/>
      </w:pPr>
      <w:r>
        <w:rPr>
          <w:b/>
          <w:bCs/>
          <w:color w:val="0B2748"/>
          <w:sz w:val="19"/>
          <w:szCs w:val="19"/>
        </w:rPr>
        <w:t xml:space="preserve">Definition: </w:t>
      </w:r>
      <w:r>
        <w:rPr>
          <w:color w:val="0B2748"/>
          <w:sz w:val="19"/>
          <w:szCs w:val="19"/>
        </w:rPr>
        <w:t xml:space="preserve">Numerator: number of CHWs whose CHW kit was fully stocked with all tracer commodities (amoxicillin dispersible tablets, ORS, zinc, malaria rapid diagnostic tests, and MUAC tapes where applicable) at the time of the most recent supervision visit. Denominator: total number of CHWs supervised in the reporting quarter.</w:t>
      </w:r>
    </w:p>
    <w:p>
      <w:pPr>
        <w:spacing w:after="30"/>
      </w:pPr>
      <w:r>
        <w:rPr>
          <w:b/>
          <w:bCs/>
          <w:color w:val="0B2748"/>
          <w:sz w:val="19"/>
          <w:szCs w:val="19"/>
        </w:rPr>
        <w:t xml:space="preserve">Disaggregation: </w:t>
      </w:r>
      <w:r>
        <w:rPr>
          <w:color w:val="0B2748"/>
          <w:sz w:val="19"/>
          <w:szCs w:val="19"/>
        </w:rPr>
        <w:t xml:space="preserve">sex, age group, disability status, location, wealth quintile</w:t>
      </w:r>
    </w:p>
    <w:p>
      <w:pPr>
        <w:spacing w:after="30"/>
      </w:pPr>
      <w:r>
        <w:rPr>
          <w:b/>
          <w:bCs/>
          <w:color w:val="0B2748"/>
          <w:sz w:val="19"/>
          <w:szCs w:val="19"/>
        </w:rPr>
        <w:t xml:space="preserve">Data source: </w:t>
      </w:r>
      <w:r>
        <w:rPr>
          <w:color w:val="0B2748"/>
          <w:sz w:val="19"/>
          <w:szCs w:val="19"/>
        </w:rPr>
        <w:t xml:space="preserve">Stock check during supervision visits using a standard commodity availability checklist</w:t>
      </w:r>
    </w:p>
    <w:p>
      <w:pPr>
        <w:spacing w:after="30"/>
      </w:pPr>
      <w:r>
        <w:rPr>
          <w:b/>
          <w:bCs/>
          <w:color w:val="0B2748"/>
          <w:sz w:val="19"/>
          <w:szCs w:val="19"/>
        </w:rPr>
        <w:t xml:space="preserve">Frequency: </w:t>
      </w:r>
      <w:r>
        <w:rPr>
          <w:color w:val="0B2748"/>
          <w:sz w:val="19"/>
          <w:szCs w:val="19"/>
        </w:rPr>
        <w:t xml:space="preserve">Quarterly (suggested)</w:t>
      </w:r>
    </w:p>
    <w:p>
      <w:pPr>
        <w:keepNext/>
        <w:spacing w:after="40" w:before="160"/>
      </w:pPr>
      <w:r>
        <w:rPr>
          <w:b/>
          <w:bCs/>
          <w:color w:val="0B2748"/>
          <w:sz w:val="20"/>
          <w:szCs w:val="20"/>
        </w:rPr>
        <w:t xml:space="preserve">Output 3.1  Number of healthcare workers trained on essential primary healthcare services</w:t>
      </w:r>
    </w:p>
    <w:p>
      <w:pPr>
        <w:spacing w:after="30"/>
      </w:pPr>
      <w:r>
        <w:rPr>
          <w:b/>
          <w:bCs/>
          <w:color w:val="0B2748"/>
          <w:sz w:val="19"/>
          <w:szCs w:val="19"/>
        </w:rPr>
        <w:t xml:space="preserve">Definition: </w:t>
      </w:r>
      <w:r>
        <w:rPr>
          <w:color w:val="0B2748"/>
          <w:sz w:val="19"/>
          <w:szCs w:val="19"/>
        </w:rPr>
        <w:t xml:space="preserve">This indicator counts the total number of healthcare workers who have successfully completed a training program focused on delivering essential primary healthcare services. Completion is defined as attending at least 90% of the training sessions and passing a post-training assessment.</w:t>
      </w:r>
    </w:p>
    <w:p>
      <w:pPr>
        <w:spacing w:after="30"/>
      </w:pPr>
      <w:r>
        <w:rPr>
          <w:b/>
          <w:bCs/>
          <w:color w:val="0B2748"/>
          <w:sz w:val="19"/>
          <w:szCs w:val="19"/>
        </w:rPr>
        <w:t xml:space="preserve">Disaggregation: </w:t>
      </w:r>
      <w:r>
        <w:rPr>
          <w:color w:val="0B2748"/>
          <w:sz w:val="19"/>
          <w:szCs w:val="19"/>
        </w:rPr>
        <w:t xml:space="preserve">sex, age group, disability status, location, wealth quintile</w:t>
      </w:r>
    </w:p>
    <w:p>
      <w:pPr>
        <w:spacing w:after="30"/>
      </w:pPr>
      <w:r>
        <w:rPr>
          <w:b/>
          <w:bCs/>
          <w:color w:val="0B2748"/>
          <w:sz w:val="19"/>
          <w:szCs w:val="19"/>
        </w:rPr>
        <w:t xml:space="preserve">Data source: </w:t>
      </w:r>
      <w:r>
        <w:rPr>
          <w:color w:val="0B2748"/>
          <w:sz w:val="19"/>
          <w:szCs w:val="19"/>
        </w:rPr>
        <w:t xml:space="preserve">Training attendance registers and post-training assessment records will be collected from training facilitators at the end of each training session</w:t>
      </w:r>
    </w:p>
    <w:p>
      <w:pPr>
        <w:spacing w:after="30"/>
      </w:pPr>
      <w:r>
        <w:rPr>
          <w:b/>
          <w:bCs/>
          <w:color w:val="0B2748"/>
          <w:sz w:val="19"/>
          <w:szCs w:val="19"/>
        </w:rPr>
        <w:t xml:space="preserve">Frequency: </w:t>
      </w:r>
      <w:r>
        <w:rPr>
          <w:color w:val="0B2748"/>
          <w:sz w:val="19"/>
          <w:szCs w:val="19"/>
        </w:rPr>
        <w:t xml:space="preserve">Quarterly (suggested)</w:t>
      </w:r>
    </w:p>
    <w:p>
      <w:pPr>
        <w:keepNext/>
        <w:spacing w:after="40" w:before="160"/>
      </w:pPr>
      <w:r>
        <w:rPr>
          <w:b/>
          <w:bCs/>
          <w:color w:val="0B2748"/>
          <w:sz w:val="20"/>
          <w:szCs w:val="20"/>
        </w:rPr>
        <w:t xml:space="preserve">Output 3.2  Number of community health workers credentialed against the national community health curriculum and deployed to assigned catchment areas</w:t>
      </w:r>
    </w:p>
    <w:p>
      <w:pPr>
        <w:spacing w:after="30"/>
      </w:pPr>
      <w:r>
        <w:rPr>
          <w:b/>
          <w:bCs/>
          <w:color w:val="0B2748"/>
          <w:sz w:val="19"/>
          <w:szCs w:val="19"/>
        </w:rPr>
        <w:t xml:space="preserve">Definition: </w:t>
      </w:r>
      <w:r>
        <w:rPr>
          <w:color w:val="0B2748"/>
          <w:sz w:val="19"/>
          <w:szCs w:val="19"/>
        </w:rPr>
        <w:t xml:space="preserve">Counts the cumulative number of CHWs who have completed the full national curriculum, passed certification, and been formally deployed to a defined catchment area with a signed deployment record. Refresher trainees who re-certify are counted once.</w:t>
      </w:r>
    </w:p>
    <w:p>
      <w:pPr>
        <w:spacing w:after="30"/>
      </w:pPr>
      <w:r>
        <w:rPr>
          <w:b/>
          <w:bCs/>
          <w:color w:val="0B2748"/>
          <w:sz w:val="19"/>
          <w:szCs w:val="19"/>
        </w:rPr>
        <w:t xml:space="preserve">Disaggregation: </w:t>
      </w:r>
      <w:r>
        <w:rPr>
          <w:color w:val="0B2748"/>
          <w:sz w:val="19"/>
          <w:szCs w:val="19"/>
        </w:rPr>
        <w:t xml:space="preserve">sex, age group, disability status, location, wealth quintile</w:t>
      </w:r>
    </w:p>
    <w:p>
      <w:pPr>
        <w:spacing w:after="30"/>
      </w:pPr>
      <w:r>
        <w:rPr>
          <w:b/>
          <w:bCs/>
          <w:color w:val="0B2748"/>
          <w:sz w:val="19"/>
          <w:szCs w:val="19"/>
        </w:rPr>
        <w:t xml:space="preserve">Data source: </w:t>
      </w:r>
      <w:r>
        <w:rPr>
          <w:color w:val="0B2748"/>
          <w:sz w:val="19"/>
          <w:szCs w:val="19"/>
        </w:rPr>
        <w:t xml:space="preserve">Program HR records, certification lists, and deployment letters reviewed quarterly</w:t>
      </w:r>
    </w:p>
    <w:p>
      <w:pPr>
        <w:spacing w:after="30"/>
      </w:pPr>
      <w:r>
        <w:rPr>
          <w:b/>
          <w:bCs/>
          <w:color w:val="0B2748"/>
          <w:sz w:val="19"/>
          <w:szCs w:val="19"/>
        </w:rPr>
        <w:t xml:space="preserve">Frequency: </w:t>
      </w:r>
      <w:r>
        <w:rPr>
          <w:color w:val="0B2748"/>
          <w:sz w:val="19"/>
          <w:szCs w:val="19"/>
        </w:rPr>
        <w:t xml:space="preserve">Quarterly</w:t>
      </w:r>
    </w:p>
    <w:p>
      <w:pPr>
        <w:keepNext/>
        <w:spacing w:after="40" w:before="160"/>
      </w:pPr>
      <w:r>
        <w:rPr>
          <w:b/>
          <w:bCs/>
          <w:color w:val="0B2748"/>
          <w:sz w:val="20"/>
          <w:szCs w:val="20"/>
        </w:rPr>
        <w:t xml:space="preserve">Output 4.1  Number of healthcare providers receiving mentorship or supportive supervision visits</w:t>
      </w:r>
    </w:p>
    <w:p>
      <w:pPr>
        <w:spacing w:after="30"/>
      </w:pPr>
      <w:r>
        <w:rPr>
          <w:b/>
          <w:bCs/>
          <w:color w:val="0B2748"/>
          <w:sz w:val="19"/>
          <w:szCs w:val="19"/>
        </w:rPr>
        <w:t xml:space="preserve">Definition: </w:t>
      </w:r>
      <w:r>
        <w:rPr>
          <w:color w:val="0B2748"/>
          <w:sz w:val="19"/>
          <w:szCs w:val="19"/>
        </w:rPr>
        <w:t xml:space="preserve">This indicator counts the total number of individual healthcare providers who have received at least one formal mentorship or supportive supervision visit from a designated program mentor or supervisor.</w:t>
      </w:r>
    </w:p>
    <w:p>
      <w:pPr>
        <w:spacing w:after="30"/>
      </w:pPr>
      <w:r>
        <w:rPr>
          <w:b/>
          <w:bCs/>
          <w:color w:val="0B2748"/>
          <w:sz w:val="19"/>
          <w:szCs w:val="19"/>
        </w:rPr>
        <w:t xml:space="preserve">Disaggregation: </w:t>
      </w:r>
      <w:r>
        <w:rPr>
          <w:color w:val="0B2748"/>
          <w:sz w:val="19"/>
          <w:szCs w:val="19"/>
        </w:rPr>
        <w:t xml:space="preserve">sex, age group, disability status, location, wealth quintile</w:t>
      </w:r>
    </w:p>
    <w:p>
      <w:pPr>
        <w:spacing w:after="30"/>
      </w:pPr>
      <w:r>
        <w:rPr>
          <w:b/>
          <w:bCs/>
          <w:color w:val="0B2748"/>
          <w:sz w:val="19"/>
          <w:szCs w:val="19"/>
        </w:rPr>
        <w:t xml:space="preserve">Data source: </w:t>
      </w:r>
      <w:r>
        <w:rPr>
          <w:color w:val="0B2748"/>
          <w:sz w:val="19"/>
          <w:szCs w:val="19"/>
        </w:rPr>
        <w:t xml:space="preserve">Mentorship and supervision visit logs, signed by both the supervisor and the provider, will be collected on a quarterly basis</w:t>
      </w:r>
    </w:p>
    <w:p>
      <w:pPr>
        <w:spacing w:after="30"/>
      </w:pPr>
      <w:r>
        <w:rPr>
          <w:b/>
          <w:bCs/>
          <w:color w:val="0B2748"/>
          <w:sz w:val="19"/>
          <w:szCs w:val="19"/>
        </w:rPr>
        <w:t xml:space="preserve">Frequency: </w:t>
      </w:r>
      <w:r>
        <w:rPr>
          <w:color w:val="0B2748"/>
          <w:sz w:val="19"/>
          <w:szCs w:val="19"/>
        </w:rPr>
        <w:t xml:space="preserve">Quarterly</w:t>
      </w:r>
    </w:p>
    <w:p>
      <w:pPr>
        <w:keepNext/>
        <w:spacing w:after="40" w:before="160"/>
      </w:pPr>
      <w:r>
        <w:rPr>
          <w:b/>
          <w:bCs/>
          <w:color w:val="0B2748"/>
          <w:sz w:val="20"/>
          <w:szCs w:val="20"/>
        </w:rPr>
        <w:t xml:space="preserve">Output 4.2  Proportion of supported community health workers who received at least one structured supportive supervision visit in the reporting quarter</w:t>
      </w:r>
    </w:p>
    <w:p>
      <w:pPr>
        <w:spacing w:after="30"/>
      </w:pPr>
      <w:r>
        <w:rPr>
          <w:b/>
          <w:bCs/>
          <w:color w:val="0B2748"/>
          <w:sz w:val="19"/>
          <w:szCs w:val="19"/>
        </w:rPr>
        <w:t xml:space="preserve">Definition: </w:t>
      </w:r>
      <w:r>
        <w:rPr>
          <w:color w:val="0B2748"/>
          <w:sz w:val="19"/>
          <w:szCs w:val="19"/>
        </w:rPr>
        <w:t xml:space="preserve">Numerator: number of active CHWs who received at least one documented supervision visit using the standard checklist during the quarter. Denominator: total number of active CHWs assigned during the quarter.</w:t>
      </w:r>
    </w:p>
    <w:p>
      <w:pPr>
        <w:spacing w:after="30"/>
      </w:pPr>
      <w:r>
        <w:rPr>
          <w:b/>
          <w:bCs/>
          <w:color w:val="0B2748"/>
          <w:sz w:val="19"/>
          <w:szCs w:val="19"/>
        </w:rPr>
        <w:t xml:space="preserve">Disaggregation: </w:t>
      </w:r>
      <w:r>
        <w:rPr>
          <w:color w:val="0B2748"/>
          <w:sz w:val="19"/>
          <w:szCs w:val="19"/>
        </w:rPr>
        <w:t xml:space="preserve">sex, age group, disability status, location, wealth quintile</w:t>
      </w:r>
    </w:p>
    <w:p>
      <w:pPr>
        <w:spacing w:after="30"/>
      </w:pPr>
      <w:r>
        <w:rPr>
          <w:b/>
          <w:bCs/>
          <w:color w:val="0B2748"/>
          <w:sz w:val="19"/>
          <w:szCs w:val="19"/>
        </w:rPr>
        <w:t xml:space="preserve">Data source: </w:t>
      </w:r>
      <w:r>
        <w:rPr>
          <w:color w:val="0B2748"/>
          <w:sz w:val="19"/>
          <w:szCs w:val="19"/>
        </w:rPr>
        <w:t xml:space="preserve">CHW supervision logs aggregated quarterly from supervising facilities</w:t>
      </w:r>
    </w:p>
    <w:p>
      <w:pPr>
        <w:spacing w:after="30"/>
      </w:pPr>
      <w:r>
        <w:rPr>
          <w:b/>
          <w:bCs/>
          <w:color w:val="0B2748"/>
          <w:sz w:val="19"/>
          <w:szCs w:val="19"/>
        </w:rPr>
        <w:t xml:space="preserve">Frequency: </w:t>
      </w:r>
      <w:r>
        <w:rPr>
          <w:color w:val="0B2748"/>
          <w:sz w:val="19"/>
          <w:szCs w:val="19"/>
        </w:rPr>
        <w:t xml:space="preserve">Quarterly</w:t>
      </w:r>
    </w:p>
    <w:p>
      <w:pPr>
        <w:keepNext/>
        <w:spacing w:after="40" w:before="160"/>
      </w:pPr>
      <w:r>
        <w:rPr>
          <w:b/>
          <w:bCs/>
          <w:color w:val="0B2748"/>
          <w:sz w:val="20"/>
          <w:szCs w:val="20"/>
        </w:rPr>
        <w:t xml:space="preserve">Output 5.1  Number of community health education sessions conducted on preventive primary healthcare practices</w:t>
      </w:r>
    </w:p>
    <w:p>
      <w:pPr>
        <w:spacing w:after="30"/>
      </w:pPr>
      <w:r>
        <w:rPr>
          <w:b/>
          <w:bCs/>
          <w:color w:val="0B2748"/>
          <w:sz w:val="19"/>
          <w:szCs w:val="19"/>
        </w:rPr>
        <w:t xml:space="preserve">Definition: </w:t>
      </w:r>
      <w:r>
        <w:rPr>
          <w:color w:val="0B2748"/>
          <w:sz w:val="19"/>
          <w:szCs w:val="19"/>
        </w:rPr>
        <w:t xml:space="preserve">This indicator counts the total number of organized sessions held within communities to educate residents on preventive primary healthcare practices, such as hygiene, nutrition, and early symptom recognition. Each session must have a minimum attendance of 10 community members.</w:t>
      </w:r>
    </w:p>
    <w:p>
      <w:pPr>
        <w:spacing w:after="30"/>
      </w:pPr>
      <w:r>
        <w:rPr>
          <w:b/>
          <w:bCs/>
          <w:color w:val="0B2748"/>
          <w:sz w:val="19"/>
          <w:szCs w:val="19"/>
        </w:rPr>
        <w:t xml:space="preserve">Disaggregation: </w:t>
      </w:r>
      <w:r>
        <w:rPr>
          <w:color w:val="0B2748"/>
          <w:sz w:val="19"/>
          <w:szCs w:val="19"/>
        </w:rPr>
        <w:t xml:space="preserve">None; reported as a total</w:t>
      </w:r>
    </w:p>
    <w:p>
      <w:pPr>
        <w:spacing w:after="30"/>
      </w:pPr>
      <w:r>
        <w:rPr>
          <w:b/>
          <w:bCs/>
          <w:color w:val="0B2748"/>
          <w:sz w:val="19"/>
          <w:szCs w:val="19"/>
        </w:rPr>
        <w:t xml:space="preserve">Data source: </w:t>
      </w:r>
      <w:r>
        <w:rPr>
          <w:color w:val="0B2748"/>
          <w:sz w:val="19"/>
          <w:szCs w:val="19"/>
        </w:rPr>
        <w:t xml:space="preserve">Session facilitator reports and attendance sheets will be collected on a monthly basis</w:t>
      </w:r>
    </w:p>
    <w:p>
      <w:pPr>
        <w:spacing w:after="30"/>
      </w:pPr>
      <w:r>
        <w:rPr>
          <w:b/>
          <w:bCs/>
          <w:color w:val="0B2748"/>
          <w:sz w:val="19"/>
          <w:szCs w:val="19"/>
        </w:rPr>
        <w:t xml:space="preserve">Frequency: </w:t>
      </w:r>
      <w:r>
        <w:rPr>
          <w:color w:val="0B2748"/>
          <w:sz w:val="19"/>
          <w:szCs w:val="19"/>
        </w:rPr>
        <w:t xml:space="preserve">Monthly</w:t>
      </w:r>
    </w:p>
    <w:p>
      <w:pPr>
        <w:keepNext/>
        <w:spacing w:after="40" w:before="160"/>
      </w:pPr>
      <w:r>
        <w:rPr>
          <w:b/>
          <w:bCs/>
          <w:color w:val="0B2748"/>
          <w:sz w:val="20"/>
          <w:szCs w:val="20"/>
        </w:rPr>
        <w:t xml:space="preserve">Output 5.2  Number of community health committees functional holding regular minuted meetings at least quarterly</w:t>
      </w:r>
    </w:p>
    <w:p>
      <w:pPr>
        <w:spacing w:after="30"/>
      </w:pPr>
      <w:r>
        <w:rPr>
          <w:b/>
          <w:bCs/>
          <w:color w:val="0B2748"/>
          <w:sz w:val="19"/>
          <w:szCs w:val="19"/>
        </w:rPr>
        <w:t xml:space="preserve">Definition: </w:t>
      </w:r>
      <w:r>
        <w:rPr>
          <w:color w:val="0B2748"/>
          <w:sz w:val="19"/>
          <w:szCs w:val="19"/>
        </w:rPr>
        <w:t xml:space="preserve">Counts the number of community health committees that meet a 'functional' standard, defined as holding at least one minuted meeting per quarter with documented action items linked to community health priorities.</w:t>
      </w:r>
    </w:p>
    <w:p>
      <w:pPr>
        <w:spacing w:after="30"/>
      </w:pPr>
      <w:r>
        <w:rPr>
          <w:b/>
          <w:bCs/>
          <w:color w:val="0B2748"/>
          <w:sz w:val="19"/>
          <w:szCs w:val="19"/>
        </w:rPr>
        <w:t xml:space="preserve">Disaggregation: </w:t>
      </w:r>
      <w:r>
        <w:rPr>
          <w:color w:val="0B2748"/>
          <w:sz w:val="19"/>
          <w:szCs w:val="19"/>
        </w:rPr>
        <w:t xml:space="preserve">None; reported as a total</w:t>
      </w:r>
    </w:p>
    <w:p>
      <w:pPr>
        <w:spacing w:after="30"/>
      </w:pPr>
      <w:r>
        <w:rPr>
          <w:b/>
          <w:bCs/>
          <w:color w:val="0B2748"/>
          <w:sz w:val="19"/>
          <w:szCs w:val="19"/>
        </w:rPr>
        <w:t xml:space="preserve">Data source: </w:t>
      </w:r>
      <w:r>
        <w:rPr>
          <w:color w:val="0B2748"/>
          <w:sz w:val="19"/>
          <w:szCs w:val="19"/>
        </w:rPr>
        <w:t xml:space="preserve">Review of meeting minutes and committee records during quarterly program visits</w:t>
      </w:r>
    </w:p>
    <w:p>
      <w:pPr>
        <w:spacing w:after="30"/>
      </w:pPr>
      <w:r>
        <w:rPr>
          <w:b/>
          <w:bCs/>
          <w:color w:val="0B2748"/>
          <w:sz w:val="19"/>
          <w:szCs w:val="19"/>
        </w:rPr>
        <w:t xml:space="preserve">Frequency: </w:t>
      </w:r>
      <w:r>
        <w:rPr>
          <w:color w:val="0B2748"/>
          <w:sz w:val="19"/>
          <w:szCs w:val="19"/>
        </w:rPr>
        <w:t xml:space="preserve">Quarterly</w:t>
      </w:r>
    </w:p>
    <w:p>
      <w:pPr>
        <w:keepNext/>
        <w:spacing w:after="100" w:before="280"/>
      </w:pPr>
      <w:r>
        <w:rPr>
          <w:b/>
          <w:bCs/>
          <w:color w:val="0B2748"/>
          <w:sz w:val="28"/>
          <w:szCs w:val="28"/>
        </w:rPr>
        <w:t xml:space="preserve">Assumptions</w:t>
      </w:r>
    </w:p>
    <w:p>
      <w:pPr>
        <w:pStyle w:val="ListParagraph"/>
        <w:numPr>
          <w:ilvl w:val="0"/>
          <w:numId w:val="1"/>
        </w:numPr>
        <w:spacing w:after="40"/>
      </w:pPr>
      <w:r>
        <w:rPr>
          <w:color w:val="0B2748"/>
          <w:sz w:val="19"/>
          <w:szCs w:val="19"/>
        </w:rPr>
        <w:t xml:space="preserve">Health authorities recognize CHWs as a formal cadre and approve the service package and supervision model</w:t>
      </w:r>
    </w:p>
    <w:p>
      <w:pPr>
        <w:pStyle w:val="ListParagraph"/>
        <w:numPr>
          <w:ilvl w:val="0"/>
          <w:numId w:val="1"/>
        </w:numPr>
        <w:spacing w:after="40"/>
      </w:pPr>
      <w:r>
        <w:rPr>
          <w:color w:val="0B2748"/>
          <w:sz w:val="19"/>
          <w:szCs w:val="19"/>
        </w:rPr>
        <w:t xml:space="preserve">CHW retention is sufficient given local incentive structures, workload, and community standing</w:t>
      </w:r>
    </w:p>
    <w:p>
      <w:pPr>
        <w:pStyle w:val="ListParagraph"/>
        <w:numPr>
          <w:ilvl w:val="0"/>
          <w:numId w:val="1"/>
        </w:numPr>
        <w:spacing w:after="40"/>
      </w:pPr>
      <w:r>
        <w:rPr>
          <w:color w:val="0B2748"/>
          <w:sz w:val="19"/>
          <w:szCs w:val="19"/>
        </w:rPr>
        <w:t xml:space="preserve">Primary healthcare facilities can absorb referrals generated by CHWs without overwhelming service quality</w:t>
      </w:r>
    </w:p>
    <w:p>
      <w:pPr>
        <w:pStyle w:val="ListParagraph"/>
        <w:numPr>
          <w:ilvl w:val="0"/>
          <w:numId w:val="1"/>
        </w:numPr>
        <w:spacing w:after="40"/>
      </w:pPr>
      <w:r>
        <w:rPr>
          <w:color w:val="0B2748"/>
          <w:sz w:val="19"/>
          <w:szCs w:val="19"/>
        </w:rPr>
        <w:t xml:space="preserve">Commodity pipelines from the national level into the program area remain functional with limited stock-outs</w:t>
      </w:r>
    </w:p>
    <w:p>
      <w:pPr>
        <w:pStyle w:val="ListParagraph"/>
        <w:numPr>
          <w:ilvl w:val="0"/>
          <w:numId w:val="1"/>
        </w:numPr>
        <w:spacing w:after="40"/>
      </w:pPr>
      <w:r>
        <w:rPr>
          <w:color w:val="0B2748"/>
          <w:sz w:val="19"/>
          <w:szCs w:val="19"/>
        </w:rPr>
        <w:t xml:space="preserve">Cultural and gender norms allow CHWs (especially female CHWs) to conduct household visits and counsel caregivers</w:t>
      </w:r>
    </w:p>
    <w:sectPr>
      <w:footerReference w:type="default" r:id="rId7"/>
      <w:pgSz w:w="16838" w:h="11906" w:orient="landscape"/>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60"/>
    </w:pPr>
    <w:r>
      <w:rPr>
        <w:color w:val="1A7A8A"/>
        <w:sz w:val="16"/>
        <w:szCs w:val="16"/>
      </w:rPr>
      <w:t xml:space="preserve">M&amp;E Studio | monitoringevaluationstudio.com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274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Health Worker Network Strengthening: Logic Model</dc:title>
  <dc:creator>M&amp;E Studio</dc:creator>
  <cp:lastModifiedBy>Un-named</cp:lastModifiedBy>
  <cp:revision>1</cp:revision>
  <dcterms:created xsi:type="dcterms:W3CDTF">2026-10-15T01:24:45.703Z</dcterms:created>
  <dcterms:modified xsi:type="dcterms:W3CDTF">2026-10-15T01:24:45.704Z</dcterms:modified>
</cp:coreProperties>
</file>

<file path=docProps/custom.xml><?xml version="1.0" encoding="utf-8"?>
<Properties xmlns="http://schemas.openxmlformats.org/officeDocument/2006/custom-properties" xmlns:vt="http://schemas.openxmlformats.org/officeDocument/2006/docPropsVTypes"/>
</file>