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2748"/>
          <w:sz w:val="36"/>
          <w:szCs w:val="36"/>
        </w:rPr>
        <w:t xml:space="preserve">Climate-Smart Agriculture Program for Smallholder Farming Households</w:t>
      </w:r>
    </w:p>
    <w:p>
      <w:pPr>
        <w:spacing w:after="200"/>
      </w:pPr>
      <w:r>
        <w:rPr>
          <w:color w:val="1A7A8A"/>
          <w:sz w:val="20"/>
          <w:szCs w:val="20"/>
        </w:rPr>
        <w:t xml:space="preserve">An M&amp;E Studio Logic Model Pack: Climate-Smart Agriculture Program for Smallholder Farming Households (Food Security &amp; Nutrition, Household Food Security &amp; Resilience).</w:t>
      </w:r>
    </w:p>
    <w:p>
      <w:pPr>
        <w:keepNext/>
        <w:spacing w:after="100" w:before="280"/>
      </w:pPr>
      <w:r>
        <w:rPr>
          <w:b/>
          <w:bCs/>
          <w:color w:val="0B2748"/>
          <w:sz w:val="28"/>
          <w:szCs w:val="28"/>
        </w:rPr>
        <w:t xml:space="preserve">Results and Indicators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3%"/>
            <w:shd w:fill="0B2748" w:color="auto" w:val="clear"/>
            <w:tcMar>
              <w:top w:type="dxa" w:w="50"/>
              <w:left w:type="dxa" w:w="80"/>
              <w:bottom w:type="dxa" w:w="50"/>
              <w:right w:type="dxa" w:w="80"/>
            </w:tcMar>
          </w:tcPr>
          <w:p>
            <w:r>
              <w:rPr>
                <w:b/>
                <w:bCs/>
                <w:color w:val="FFFFFF"/>
                <w:sz w:val="19"/>
                <w:szCs w:val="19"/>
              </w:rPr>
              <w:t xml:space="preserve">Level</w:t>
            </w:r>
          </w:p>
        </w:tc>
        <w:tc>
          <w:tcPr>
            <w:tcW w:type="pct" w:w="30%"/>
            <w:shd w:fill="0B2748" w:color="auto" w:val="clear"/>
            <w:tcMar>
              <w:top w:type="dxa" w:w="50"/>
              <w:left w:type="dxa" w:w="80"/>
              <w:bottom w:type="dxa" w:w="50"/>
              <w:right w:type="dxa" w:w="80"/>
            </w:tcMar>
          </w:tcPr>
          <w:p>
            <w:r>
              <w:rPr>
                <w:b/>
                <w:bCs/>
                <w:color w:val="FFFFFF"/>
                <w:sz w:val="19"/>
                <w:szCs w:val="19"/>
              </w:rPr>
              <w:t xml:space="preserve">Result</w:t>
            </w:r>
          </w:p>
        </w:tc>
        <w:tc>
          <w:tcPr>
            <w:tcW w:type="pct" w:w="31%"/>
            <w:shd w:fill="0B2748" w:color="auto" w:val="clear"/>
            <w:tcMar>
              <w:top w:type="dxa" w:w="50"/>
              <w:left w:type="dxa" w:w="80"/>
              <w:bottom w:type="dxa" w:w="50"/>
              <w:right w:type="dxa" w:w="80"/>
            </w:tcMar>
          </w:tcPr>
          <w:p>
            <w:r>
              <w:rPr>
                <w:b/>
                <w:bCs/>
                <w:color w:val="FFFFFF"/>
                <w:sz w:val="19"/>
                <w:szCs w:val="19"/>
              </w:rPr>
              <w:t xml:space="preserve">Indicators</w:t>
            </w:r>
          </w:p>
        </w:tc>
        <w:tc>
          <w:tcPr>
            <w:tcW w:type="pct" w:w="16%"/>
            <w:shd w:fill="0B2748" w:color="auto" w:val="clear"/>
            <w:tcMar>
              <w:top w:type="dxa" w:w="50"/>
              <w:left w:type="dxa" w:w="80"/>
              <w:bottom w:type="dxa" w:w="50"/>
              <w:right w:type="dxa" w:w="80"/>
            </w:tcMar>
          </w:tcPr>
          <w:p>
            <w:r>
              <w:rPr>
                <w:b/>
                <w:bCs/>
                <w:color w:val="FFFFFF"/>
                <w:sz w:val="19"/>
                <w:szCs w:val="19"/>
              </w:rPr>
              <w:t xml:space="preserve">Data source</w:t>
            </w:r>
          </w:p>
        </w:tc>
        <w:tc>
          <w:tcPr>
            <w:tcW w:type="pct" w:w="10%"/>
            <w:shd w:fill="0B2748" w:color="auto" w:val="clear"/>
            <w:tcMar>
              <w:top w:type="dxa" w:w="50"/>
              <w:left w:type="dxa" w:w="80"/>
              <w:bottom w:type="dxa" w:w="50"/>
              <w:right w:type="dxa" w:w="80"/>
            </w:tcMar>
          </w:tcPr>
          <w:p>
            <w:r>
              <w:rPr>
                <w:b/>
                <w:bCs/>
                <w:color w:val="FFFFFF"/>
                <w:sz w:val="19"/>
                <w:szCs w:val="19"/>
              </w:rPr>
              <w:t xml:space="preserve">Frequency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Impact 1</w:t>
            </w:r>
          </w:p>
        </w:tc>
        <w:tc>
          <w:tcPr>
            <w:tcW w:type="pct" w:w="30%"/>
            <w:tcMar>
              <w:top w:type="dxa" w:w="50"/>
              <w:left w:type="dxa" w:w="80"/>
              <w:bottom w:type="dxa" w:w="50"/>
              <w:right w:type="dxa" w:w="80"/>
            </w:tcMar>
          </w:tcPr>
          <w:p>
            <w:pPr>
              <w:spacing w:after="60"/>
            </w:pPr>
            <w:r>
              <w:rPr>
                <w:color w:val="0B2748"/>
                <w:sz w:val="18"/>
                <w:szCs w:val="18"/>
              </w:rPr>
              <w:t xml:space="preserve">Improved year-round food security, dietary diversity, and resilience to climate shocks among smallholder farming households through adoption of climate-smart agriculture practices</w:t>
            </w:r>
          </w:p>
        </w:tc>
        <w:tc>
          <w:tcPr>
            <w:tcW w:type="pct" w:w="31%"/>
            <w:tcMar>
              <w:top w:type="dxa" w:w="50"/>
              <w:left w:type="dxa" w:w="80"/>
              <w:bottom w:type="dxa" w:w="50"/>
              <w:right w:type="dxa" w:w="80"/>
            </w:tcMar>
          </w:tcPr>
          <w:p>
            <w:pPr>
              <w:spacing w:after="40"/>
            </w:pPr>
            <w:r>
              <w:rPr>
                <w:color w:val="0B2748"/>
                <w:sz w:val="18"/>
                <w:szCs w:val="18"/>
              </w:rPr>
              <w:t xml:space="preserve">Impact 1.1  Proportion of participating households experiencing moderate or severe food insecurity, measured with the Food Insecurity Experience Scale (FIES)</w:t>
            </w:r>
          </w:p>
        </w:tc>
        <w:tc>
          <w:tcPr>
            <w:tcW w:type="pct" w:w="16%"/>
            <w:tcMar>
              <w:top w:type="dxa" w:w="50"/>
              <w:left w:type="dxa" w:w="80"/>
              <w:bottom w:type="dxa" w:w="50"/>
              <w:right w:type="dxa" w:w="80"/>
            </w:tcMar>
          </w:tcPr>
          <w:p>
            <w:pPr>
              <w:spacing w:after="40"/>
            </w:pPr>
            <w:r>
              <w:rPr>
                <w:color w:val="0B2748"/>
                <w:sz w:val="18"/>
                <w:szCs w:val="18"/>
              </w:rPr>
              <w:t xml:space="preserve">Survey of participating households using the eight-question Food Insecurity Experience Scale, at baseline and endline</w:t>
            </w:r>
          </w:p>
        </w:tc>
        <w:tc>
          <w:tcPr>
            <w:tcW w:type="pct" w:w="10%"/>
            <w:tcMar>
              <w:top w:type="dxa" w:w="50"/>
              <w:left w:type="dxa" w:w="80"/>
              <w:bottom w:type="dxa" w:w="50"/>
              <w:right w:type="dxa" w:w="80"/>
            </w:tcMar>
          </w:tcPr>
          <w:p>
            <w:pPr>
              <w:spacing w:after="40"/>
            </w:pPr>
            <w:r>
              <w:rPr>
                <w:color w:val="0B2748"/>
                <w:sz w:val="18"/>
                <w:szCs w:val="18"/>
              </w:rPr>
              <w:t xml:space="preserve">Baseline and endline (same season each round)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1</w:t>
            </w:r>
          </w:p>
        </w:tc>
        <w:tc>
          <w:tcPr>
            <w:tcW w:type="pct" w:w="30%"/>
            <w:tcMar>
              <w:top w:type="dxa" w:w="50"/>
              <w:left w:type="dxa" w:w="80"/>
              <w:bottom w:type="dxa" w:w="50"/>
              <w:right w:type="dxa" w:w="80"/>
            </w:tcMar>
          </w:tcPr>
          <w:p>
            <w:pPr>
              <w:spacing w:after="60"/>
            </w:pPr>
            <w:r>
              <w:rPr>
                <w:color w:val="0B2748"/>
                <w:sz w:val="18"/>
                <w:szCs w:val="18"/>
              </w:rPr>
              <w:t xml:space="preserve">Smallholder farming households adopt and sustain climate-smart agriculture practices on their plots, including drought-tolerant varieties, soil and water conservation, and diversified cropping</w:t>
            </w:r>
          </w:p>
        </w:tc>
        <w:tc>
          <w:tcPr>
            <w:tcW w:type="pct" w:w="31%"/>
            <w:tcMar>
              <w:top w:type="dxa" w:w="50"/>
              <w:left w:type="dxa" w:w="80"/>
              <w:bottom w:type="dxa" w:w="50"/>
              <w:right w:type="dxa" w:w="80"/>
            </w:tcMar>
          </w:tcPr>
          <w:p>
            <w:pPr>
              <w:spacing w:after="40"/>
            </w:pPr>
            <w:r>
              <w:rPr>
                <w:color w:val="0B2748"/>
                <w:sz w:val="18"/>
                <w:szCs w:val="18"/>
              </w:rPr>
              <w:t xml:space="preserve">Outcome 1.1  Proportion of participating households applying at least one promoted climate-smart agriculture practice on their plots in the most recent growing season</w:t>
            </w:r>
          </w:p>
        </w:tc>
        <w:tc>
          <w:tcPr>
            <w:tcW w:type="pct" w:w="16%"/>
            <w:tcMar>
              <w:top w:type="dxa" w:w="50"/>
              <w:left w:type="dxa" w:w="80"/>
              <w:bottom w:type="dxa" w:w="50"/>
              <w:right w:type="dxa" w:w="80"/>
            </w:tcMar>
          </w:tcPr>
          <w:p>
            <w:pPr>
              <w:spacing w:after="40"/>
            </w:pPr>
            <w:r>
              <w:rPr>
                <w:color w:val="0B2748"/>
                <w:sz w:val="18"/>
                <w:szCs w:val="18"/>
              </w:rPr>
              <w:t xml:space="preserve">Household surveys and farm-level observations conducted periodically and at endline</w:t>
            </w:r>
          </w:p>
        </w:tc>
        <w:tc>
          <w:tcPr>
            <w:tcW w:type="pct" w:w="10%"/>
            <w:tcMar>
              <w:top w:type="dxa" w:w="50"/>
              <w:left w:type="dxa" w:w="80"/>
              <w:bottom w:type="dxa" w:w="50"/>
              <w:right w:type="dxa" w:w="80"/>
            </w:tcMar>
          </w:tcPr>
          <w:p>
            <w:pPr>
              <w:spacing w:after="40"/>
            </w:pPr>
            <w:r>
              <w:rPr>
                <w:color w:val="0B2748"/>
                <w:sz w:val="18"/>
                <w:szCs w:val="18"/>
              </w:rPr>
              <w:t xml:space="preserve">Baseline, then annually after the main growing season</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2</w:t>
            </w:r>
          </w:p>
        </w:tc>
        <w:tc>
          <w:tcPr>
            <w:tcW w:type="pct" w:w="30%"/>
            <w:tcMar>
              <w:top w:type="dxa" w:w="50"/>
              <w:left w:type="dxa" w:w="80"/>
              <w:bottom w:type="dxa" w:w="50"/>
              <w:right w:type="dxa" w:w="80"/>
            </w:tcMar>
          </w:tcPr>
          <w:p>
            <w:pPr>
              <w:spacing w:after="60"/>
            </w:pPr>
            <w:r>
              <w:rPr>
                <w:color w:val="0B2748"/>
                <w:sz w:val="18"/>
                <w:szCs w:val="18"/>
              </w:rPr>
              <w:t xml:space="preserve">Participating households produce a wider range of foods and reduce post-harvest losses, improving year-round availability of nutrient-dense foods</w:t>
            </w:r>
          </w:p>
        </w:tc>
        <w:tc>
          <w:tcPr>
            <w:tcW w:type="pct" w:w="31%"/>
            <w:tcMar>
              <w:top w:type="dxa" w:w="50"/>
              <w:left w:type="dxa" w:w="80"/>
              <w:bottom w:type="dxa" w:w="50"/>
              <w:right w:type="dxa" w:w="80"/>
            </w:tcMar>
          </w:tcPr>
          <w:p>
            <w:pPr>
              <w:spacing w:after="40"/>
            </w:pPr>
            <w:r>
              <w:rPr>
                <w:color w:val="0B2748"/>
                <w:sz w:val="18"/>
                <w:szCs w:val="18"/>
              </w:rPr>
              <w:t xml:space="preserve">Outcome 2.1  Average Household Dietary Diversity Score (HDDS, 0 to 12) among participating households</w:t>
            </w:r>
          </w:p>
          <w:p>
            <w:pPr>
              <w:spacing w:after="40"/>
            </w:pPr>
            <w:r>
              <w:rPr>
                <w:color w:val="0B2748"/>
                <w:sz w:val="18"/>
                <w:szCs w:val="18"/>
              </w:rPr>
              <w:t xml:space="preserve">Outcome 2.2  Proportion of participating households using at least two improved post-harvest storage or preservation practices</w:t>
            </w:r>
          </w:p>
        </w:tc>
        <w:tc>
          <w:tcPr>
            <w:tcW w:type="pct" w:w="16%"/>
            <w:tcMar>
              <w:top w:type="dxa" w:w="50"/>
              <w:left w:type="dxa" w:w="80"/>
              <w:bottom w:type="dxa" w:w="50"/>
              <w:right w:type="dxa" w:w="80"/>
            </w:tcMar>
          </w:tcPr>
          <w:p>
            <w:pPr>
              <w:spacing w:after="40"/>
            </w:pPr>
            <w:r>
              <w:rPr>
                <w:color w:val="0B2748"/>
                <w:sz w:val="18"/>
                <w:szCs w:val="18"/>
              </w:rPr>
              <w:t xml:space="preserve">Household survey at baseline and endline, in the same season, using the standard 24-hour Household Dietary Diversity Score recall</w:t>
            </w:r>
          </w:p>
          <w:p>
            <w:pPr>
              <w:spacing w:after="40"/>
            </w:pPr>
            <w:r>
              <w:rPr>
                <w:color w:val="0B2748"/>
                <w:sz w:val="18"/>
                <w:szCs w:val="18"/>
              </w:rPr>
              <w:t xml:space="preserve">Household surveys and direct observation checklists administered periodically and at endline</w:t>
            </w:r>
          </w:p>
        </w:tc>
        <w:tc>
          <w:tcPr>
            <w:tcW w:type="pct" w:w="10%"/>
            <w:tcMar>
              <w:top w:type="dxa" w:w="50"/>
              <w:left w:type="dxa" w:w="80"/>
              <w:bottom w:type="dxa" w:w="50"/>
              <w:right w:type="dxa" w:w="80"/>
            </w:tcMar>
          </w:tcPr>
          <w:p>
            <w:pPr>
              <w:spacing w:after="40"/>
            </w:pPr>
            <w:r>
              <w:rPr>
                <w:color w:val="0B2748"/>
                <w:sz w:val="18"/>
                <w:szCs w:val="18"/>
              </w:rPr>
              <w:t xml:space="preserve">Baseline and endline (same season each round)</w:t>
            </w:r>
          </w:p>
          <w:p>
            <w:pPr>
              <w:spacing w:after="40"/>
            </w:pPr>
            <w:r>
              <w:rPr>
                <w:color w:val="0B2748"/>
                <w:sz w:val="18"/>
                <w:szCs w:val="18"/>
              </w:rPr>
              <w:t xml:space="preserve">Baseline, then annually after the main harvest</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3</w:t>
            </w:r>
          </w:p>
        </w:tc>
        <w:tc>
          <w:tcPr>
            <w:tcW w:type="pct" w:w="30%"/>
            <w:tcMar>
              <w:top w:type="dxa" w:w="50"/>
              <w:left w:type="dxa" w:w="80"/>
              <w:bottom w:type="dxa" w:w="50"/>
              <w:right w:type="dxa" w:w="80"/>
            </w:tcMar>
          </w:tcPr>
          <w:p>
            <w:pPr>
              <w:spacing w:after="60"/>
            </w:pPr>
            <w:r>
              <w:rPr>
                <w:color w:val="0B2748"/>
                <w:sz w:val="18"/>
                <w:szCs w:val="18"/>
              </w:rPr>
              <w:t xml:space="preserve">Community-level institutions and extension structures support continued uptake and adaptation of climate-smart practices beyond the project period</w:t>
            </w:r>
          </w:p>
        </w:tc>
        <w:tc>
          <w:tcPr>
            <w:tcW w:type="pct" w:w="31%"/>
            <w:tcMar>
              <w:top w:type="dxa" w:w="50"/>
              <w:left w:type="dxa" w:w="80"/>
              <w:bottom w:type="dxa" w:w="50"/>
              <w:right w:type="dxa" w:w="80"/>
            </w:tcMar>
          </w:tcPr>
          <w:p>
            <w:pPr>
              <w:spacing w:after="40"/>
            </w:pPr>
            <w:r>
              <w:rPr>
                <w:color w:val="0B2748"/>
                <w:sz w:val="18"/>
                <w:szCs w:val="18"/>
              </w:rPr>
              <w:t xml:space="preserve">Outcome 3.1  Proportion of supported communities where trained lead farmers or community-based facilitators are still providing climate-smart agriculture mentorship 12 months after direct program activity ends</w:t>
            </w:r>
          </w:p>
        </w:tc>
        <w:tc>
          <w:tcPr>
            <w:tcW w:type="pct" w:w="16%"/>
            <w:tcMar>
              <w:top w:type="dxa" w:w="50"/>
              <w:left w:type="dxa" w:w="80"/>
              <w:bottom w:type="dxa" w:w="50"/>
              <w:right w:type="dxa" w:w="80"/>
            </w:tcMar>
          </w:tcPr>
          <w:p>
            <w:pPr>
              <w:spacing w:after="40"/>
            </w:pPr>
            <w:r>
              <w:rPr>
                <w:color w:val="0B2748"/>
                <w:sz w:val="18"/>
                <w:szCs w:val="18"/>
              </w:rPr>
              <w:t xml:space="preserve">Community-level surveys and lead farmer activity logs combined with key informant interviews with extension officers, conducted 6 and 12 months after program activity in each community</w:t>
            </w:r>
          </w:p>
        </w:tc>
        <w:tc>
          <w:tcPr>
            <w:tcW w:type="pct" w:w="10%"/>
            <w:tcMar>
              <w:top w:type="dxa" w:w="50"/>
              <w:left w:type="dxa" w:w="80"/>
              <w:bottom w:type="dxa" w:w="50"/>
              <w:right w:type="dxa" w:w="80"/>
            </w:tcMar>
          </w:tcPr>
          <w:p>
            <w:pPr>
              <w:spacing w:after="40"/>
            </w:pPr>
            <w:r>
              <w:rPr>
                <w:color w:val="0B2748"/>
                <w:sz w:val="18"/>
                <w:szCs w:val="18"/>
              </w:rPr>
              <w:t xml:space="preserve">6 and 12 months after program activity ends in each community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1: Farmer Field Schools</w:t>
            </w:r>
          </w:p>
        </w:tc>
        <w:tc>
          <w:tcPr>
            <w:tcW w:type="pct" w:w="30%"/>
            <w:tcMar>
              <w:top w:type="dxa" w:w="50"/>
              <w:left w:type="dxa" w:w="80"/>
              <w:bottom w:type="dxa" w:w="50"/>
              <w:right w:type="dxa" w:w="80"/>
            </w:tcMar>
          </w:tcPr>
          <w:p>
            <w:pPr>
              <w:spacing w:after="60"/>
            </w:pPr>
            <w:r>
              <w:rPr>
                <w:color w:val="0B2748"/>
                <w:sz w:val="18"/>
                <w:szCs w:val="18"/>
              </w:rPr>
              <w:t xml:space="preserve">Smallholder farmers participate in farmer field schools and demonstration plots showcasing climate-smart practices</w:t>
            </w:r>
          </w:p>
        </w:tc>
        <w:tc>
          <w:tcPr>
            <w:tcW w:type="pct" w:w="31%"/>
            <w:tcMar>
              <w:top w:type="dxa" w:w="50"/>
              <w:left w:type="dxa" w:w="80"/>
              <w:bottom w:type="dxa" w:w="50"/>
              <w:right w:type="dxa" w:w="80"/>
            </w:tcMar>
          </w:tcPr>
          <w:p>
            <w:pPr>
              <w:spacing w:after="40"/>
            </w:pPr>
            <w:r>
              <w:rPr>
                <w:color w:val="0B2748"/>
                <w:sz w:val="18"/>
                <w:szCs w:val="18"/>
              </w:rPr>
              <w:t xml:space="preserve">Output 1.1  Number of smallholder farmers who completed the season-long farmer field school curriculum on climate-smart agriculture practices</w:t>
            </w:r>
          </w:p>
        </w:tc>
        <w:tc>
          <w:tcPr>
            <w:tcW w:type="pct" w:w="16%"/>
            <w:tcMar>
              <w:top w:type="dxa" w:w="50"/>
              <w:left w:type="dxa" w:w="80"/>
              <w:bottom w:type="dxa" w:w="50"/>
              <w:right w:type="dxa" w:w="80"/>
            </w:tcMar>
          </w:tcPr>
          <w:p>
            <w:pPr>
              <w:spacing w:after="40"/>
            </w:pPr>
            <w:r>
              <w:rPr>
                <w:color w:val="0B2748"/>
                <w:sz w:val="18"/>
                <w:szCs w:val="18"/>
              </w:rPr>
              <w:t xml:space="preserve">Farmer field school attendance registers maintained by facilitators, with unique-farmer deduplication and end-of-cycle completion certification</w:t>
            </w:r>
          </w:p>
        </w:tc>
        <w:tc>
          <w:tcPr>
            <w:tcW w:type="pct" w:w="10%"/>
            <w:tcMar>
              <w:top w:type="dxa" w:w="50"/>
              <w:left w:type="dxa" w:w="80"/>
              <w:bottom w:type="dxa" w:w="50"/>
              <w:right w:type="dxa" w:w="80"/>
            </w:tcMar>
          </w:tcPr>
          <w:p>
            <w:pPr>
              <w:spacing w:after="40"/>
            </w:pPr>
            <w:r>
              <w:rPr>
                <w:color w:val="0B2748"/>
                <w:sz w:val="18"/>
                <w:szCs w:val="18"/>
              </w:rPr>
              <w:t xml:space="preserve">Each season (end of each field school cycle)</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2: Climate-Smart Seeds and Inputs</w:t>
            </w:r>
          </w:p>
        </w:tc>
        <w:tc>
          <w:tcPr>
            <w:tcW w:type="pct" w:w="30%"/>
            <w:tcMar>
              <w:top w:type="dxa" w:w="50"/>
              <w:left w:type="dxa" w:w="80"/>
              <w:bottom w:type="dxa" w:w="50"/>
              <w:right w:type="dxa" w:w="80"/>
            </w:tcMar>
          </w:tcPr>
          <w:p>
            <w:pPr>
              <w:spacing w:after="60"/>
            </w:pPr>
            <w:r>
              <w:rPr>
                <w:color w:val="0B2748"/>
                <w:sz w:val="18"/>
                <w:szCs w:val="18"/>
              </w:rPr>
              <w:t xml:space="preserve">Drought-tolerant seeds, nutrient-dense crop varieties, and small-scale inputs are accessible to participating households</w:t>
            </w:r>
          </w:p>
        </w:tc>
        <w:tc>
          <w:tcPr>
            <w:tcW w:type="pct" w:w="31%"/>
            <w:tcMar>
              <w:top w:type="dxa" w:w="50"/>
              <w:left w:type="dxa" w:w="80"/>
              <w:bottom w:type="dxa" w:w="50"/>
              <w:right w:type="dxa" w:w="80"/>
            </w:tcMar>
          </w:tcPr>
          <w:p>
            <w:pPr>
              <w:spacing w:after="40"/>
            </w:pPr>
            <w:r>
              <w:rPr>
                <w:color w:val="0B2748"/>
                <w:sz w:val="18"/>
                <w:szCs w:val="18"/>
              </w:rPr>
              <w:t xml:space="preserve">Output 2.1  Number of participating households who received or purchased drought-tolerant or nutrient-dense seed and small-scale inputs through program-supported community seed systems or agro-dealer networks</w:t>
            </w:r>
          </w:p>
        </w:tc>
        <w:tc>
          <w:tcPr>
            <w:tcW w:type="pct" w:w="16%"/>
            <w:tcMar>
              <w:top w:type="dxa" w:w="50"/>
              <w:left w:type="dxa" w:w="80"/>
              <w:bottom w:type="dxa" w:w="50"/>
              <w:right w:type="dxa" w:w="80"/>
            </w:tcMar>
          </w:tcPr>
          <w:p>
            <w:pPr>
              <w:spacing w:after="40"/>
            </w:pPr>
            <w:r>
              <w:rPr>
                <w:color w:val="0B2748"/>
                <w:sz w:val="18"/>
                <w:szCs w:val="18"/>
              </w:rPr>
              <w:t xml:space="preserve">Distribution and redemption records from community seed systems and agro-dealer voucher schemes, cross-checked with household receipts during routine monitoring</w:t>
            </w:r>
          </w:p>
        </w:tc>
        <w:tc>
          <w:tcPr>
            <w:tcW w:type="pct" w:w="10%"/>
            <w:tcMar>
              <w:top w:type="dxa" w:w="50"/>
              <w:left w:type="dxa" w:w="80"/>
              <w:bottom w:type="dxa" w:w="50"/>
              <w:right w:type="dxa" w:w="80"/>
            </w:tcMar>
          </w:tcPr>
          <w:p>
            <w:pPr>
              <w:spacing w:after="40"/>
            </w:pPr>
            <w:r>
              <w:rPr>
                <w:color w:val="0B2748"/>
                <w:sz w:val="18"/>
                <w:szCs w:val="18"/>
              </w:rPr>
              <w:t xml:space="preserve">Each planting season</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3: Home Gardens and Livestock</w:t>
            </w:r>
          </w:p>
        </w:tc>
        <w:tc>
          <w:tcPr>
            <w:tcW w:type="pct" w:w="30%"/>
            <w:tcMar>
              <w:top w:type="dxa" w:w="50"/>
              <w:left w:type="dxa" w:w="80"/>
              <w:bottom w:type="dxa" w:w="50"/>
              <w:right w:type="dxa" w:w="80"/>
            </w:tcMar>
          </w:tcPr>
          <w:p>
            <w:pPr>
              <w:spacing w:after="60"/>
            </w:pPr>
            <w:r>
              <w:rPr>
                <w:color w:val="0B2748"/>
                <w:sz w:val="18"/>
                <w:szCs w:val="18"/>
              </w:rPr>
              <w:t xml:space="preserve">Households receive training on home gardening, small livestock, and nutrient-dense crop production for household consumption</w:t>
            </w:r>
          </w:p>
        </w:tc>
        <w:tc>
          <w:tcPr>
            <w:tcW w:type="pct" w:w="31%"/>
            <w:tcMar>
              <w:top w:type="dxa" w:w="50"/>
              <w:left w:type="dxa" w:w="80"/>
              <w:bottom w:type="dxa" w:w="50"/>
              <w:right w:type="dxa" w:w="80"/>
            </w:tcMar>
          </w:tcPr>
          <w:p>
            <w:pPr>
              <w:spacing w:after="40"/>
            </w:pPr>
            <w:r>
              <w:rPr>
                <w:color w:val="0B2748"/>
                <w:sz w:val="18"/>
                <w:szCs w:val="18"/>
              </w:rPr>
              <w:t xml:space="preserve">Output 3.1  Number of participating households trained on home gardening, small livestock production, and nutrient-dense crop production for household consumption</w:t>
            </w:r>
          </w:p>
        </w:tc>
        <w:tc>
          <w:tcPr>
            <w:tcW w:type="pct" w:w="16%"/>
            <w:tcMar>
              <w:top w:type="dxa" w:w="50"/>
              <w:left w:type="dxa" w:w="80"/>
              <w:bottom w:type="dxa" w:w="50"/>
              <w:right w:type="dxa" w:w="80"/>
            </w:tcMar>
          </w:tcPr>
          <w:p>
            <w:pPr>
              <w:spacing w:after="40"/>
            </w:pPr>
            <w:r>
              <w:rPr>
                <w:color w:val="0B2748"/>
                <w:sz w:val="18"/>
                <w:szCs w:val="18"/>
              </w:rPr>
              <w:t xml:space="preserve">Training attendance registers and post-training household visits to confirm participation, consolidated through routine monthly reporting</w:t>
            </w:r>
          </w:p>
        </w:tc>
        <w:tc>
          <w:tcPr>
            <w:tcW w:type="pct" w:w="10%"/>
            <w:tcMar>
              <w:top w:type="dxa" w:w="50"/>
              <w:left w:type="dxa" w:w="80"/>
              <w:bottom w:type="dxa" w:w="50"/>
              <w:right w:type="dxa" w:w="80"/>
            </w:tcMar>
          </w:tcPr>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4: Post-Harvest Handling</w:t>
            </w:r>
          </w:p>
        </w:tc>
        <w:tc>
          <w:tcPr>
            <w:tcW w:type="pct" w:w="30%"/>
            <w:tcMar>
              <w:top w:type="dxa" w:w="50"/>
              <w:left w:type="dxa" w:w="80"/>
              <w:bottom w:type="dxa" w:w="50"/>
              <w:right w:type="dxa" w:w="80"/>
            </w:tcMar>
          </w:tcPr>
          <w:p>
            <w:pPr>
              <w:spacing w:after="60"/>
            </w:pPr>
            <w:r>
              <w:rPr>
                <w:color w:val="0B2748"/>
                <w:sz w:val="18"/>
                <w:szCs w:val="18"/>
              </w:rPr>
              <w:t xml:space="preserve">Post-harvest handling, storage, and processing technologies are demonstrated to participating households</w:t>
            </w:r>
          </w:p>
        </w:tc>
        <w:tc>
          <w:tcPr>
            <w:tcW w:type="pct" w:w="31%"/>
            <w:tcMar>
              <w:top w:type="dxa" w:w="50"/>
              <w:left w:type="dxa" w:w="80"/>
              <w:bottom w:type="dxa" w:w="50"/>
              <w:right w:type="dxa" w:w="80"/>
            </w:tcMar>
          </w:tcPr>
          <w:p>
            <w:pPr>
              <w:spacing w:after="40"/>
            </w:pPr>
            <w:r>
              <w:rPr>
                <w:color w:val="0B2748"/>
                <w:sz w:val="18"/>
                <w:szCs w:val="18"/>
              </w:rPr>
              <w:t xml:space="preserve">Output 4.1  Number of participating households that attended at least one post-harvest handling, storage, or processing demonstration</w:t>
            </w:r>
          </w:p>
        </w:tc>
        <w:tc>
          <w:tcPr>
            <w:tcW w:type="pct" w:w="16%"/>
            <w:tcMar>
              <w:top w:type="dxa" w:w="50"/>
              <w:left w:type="dxa" w:w="80"/>
              <w:bottom w:type="dxa" w:w="50"/>
              <w:right w:type="dxa" w:w="80"/>
            </w:tcMar>
          </w:tcPr>
          <w:p>
            <w:pPr>
              <w:spacing w:after="40"/>
            </w:pPr>
            <w:r>
              <w:rPr>
                <w:color w:val="0B2748"/>
                <w:sz w:val="18"/>
                <w:szCs w:val="18"/>
              </w:rPr>
              <w:t xml:space="preserve">Training attendance sheets, facilitator reports, and program activity logs collected after each workshop</w:t>
            </w:r>
          </w:p>
        </w:tc>
        <w:tc>
          <w:tcPr>
            <w:tcW w:type="pct" w:w="10%"/>
            <w:tcMar>
              <w:top w:type="dxa" w:w="50"/>
              <w:left w:type="dxa" w:w="80"/>
              <w:bottom w:type="dxa" w:w="50"/>
              <w:right w:type="dxa" w:w="80"/>
            </w:tcMar>
          </w:tcPr>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5: Lead Farmers and Extension</w:t>
            </w:r>
          </w:p>
        </w:tc>
        <w:tc>
          <w:tcPr>
            <w:tcW w:type="pct" w:w="30%"/>
            <w:tcMar>
              <w:top w:type="dxa" w:w="50"/>
              <w:left w:type="dxa" w:w="80"/>
              <w:bottom w:type="dxa" w:w="50"/>
              <w:right w:type="dxa" w:w="80"/>
            </w:tcMar>
          </w:tcPr>
          <w:p>
            <w:pPr>
              <w:spacing w:after="60"/>
            </w:pPr>
            <w:r>
              <w:rPr>
                <w:color w:val="0B2748"/>
                <w:sz w:val="18"/>
                <w:szCs w:val="18"/>
              </w:rPr>
              <w:t xml:space="preserve">Lead farmers, agriculture extension officers, and community-based facilitators are trained to mentor other farmers on climate-smart practices</w:t>
            </w:r>
          </w:p>
        </w:tc>
        <w:tc>
          <w:tcPr>
            <w:tcW w:type="pct" w:w="31%"/>
            <w:tcMar>
              <w:top w:type="dxa" w:w="50"/>
              <w:left w:type="dxa" w:w="80"/>
              <w:bottom w:type="dxa" w:w="50"/>
              <w:right w:type="dxa" w:w="80"/>
            </w:tcMar>
          </w:tcPr>
          <w:p>
            <w:pPr>
              <w:spacing w:after="40"/>
            </w:pPr>
            <w:r>
              <w:rPr>
                <w:color w:val="0B2748"/>
                <w:sz w:val="18"/>
                <w:szCs w:val="18"/>
              </w:rPr>
              <w:t xml:space="preserve">Output 5.1  Number of lead farmers, agriculture extension officers, and community-based facilitators trained and assessed as competent to provide continuing mentorship on climate-smart agriculture</w:t>
            </w:r>
          </w:p>
        </w:tc>
        <w:tc>
          <w:tcPr>
            <w:tcW w:type="pct" w:w="16%"/>
            <w:tcMar>
              <w:top w:type="dxa" w:w="50"/>
              <w:left w:type="dxa" w:w="80"/>
              <w:bottom w:type="dxa" w:w="50"/>
              <w:right w:type="dxa" w:w="80"/>
            </w:tcMar>
          </w:tcPr>
          <w:p>
            <w:pPr>
              <w:spacing w:after="40"/>
            </w:pPr>
            <w:r>
              <w:rPr>
                <w:color w:val="0B2748"/>
                <w:sz w:val="18"/>
                <w:szCs w:val="18"/>
              </w:rPr>
              <w:t xml:space="preserve">Training attendance and competency assessment records, complemented by role designation documentation issued by program and extension service partners</w:t>
            </w:r>
          </w:p>
        </w:tc>
        <w:tc>
          <w:tcPr>
            <w:tcW w:type="pct" w:w="10%"/>
            <w:tcMar>
              <w:top w:type="dxa" w:w="50"/>
              <w:left w:type="dxa" w:w="80"/>
              <w:bottom w:type="dxa" w:w="50"/>
              <w:right w:type="dxa" w:w="80"/>
            </w:tcMar>
          </w:tcPr>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1</w:t>
            </w:r>
          </w:p>
        </w:tc>
        <w:tc>
          <w:tcPr>
            <w:tcW w:type="pct" w:w="30%"/>
            <w:tcMar>
              <w:top w:type="dxa" w:w="50"/>
              <w:left w:type="dxa" w:w="80"/>
              <w:bottom w:type="dxa" w:w="50"/>
              <w:right w:type="dxa" w:w="80"/>
            </w:tcMar>
          </w:tcPr>
          <w:p>
            <w:pPr>
              <w:spacing w:after="60"/>
            </w:pPr>
            <w:r>
              <w:rPr>
                <w:color w:val="0B2748"/>
                <w:sz w:val="18"/>
                <w:szCs w:val="18"/>
              </w:rPr>
              <w:t xml:space="preserve">Establish farmer field schools and demonstration plots with a season-long curriculum on climate-smart agriculture practices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2</w:t>
            </w:r>
          </w:p>
        </w:tc>
        <w:tc>
          <w:tcPr>
            <w:tcW w:type="pct" w:w="30%"/>
            <w:tcMar>
              <w:top w:type="dxa" w:w="50"/>
              <w:left w:type="dxa" w:w="80"/>
              <w:bottom w:type="dxa" w:w="50"/>
              <w:right w:type="dxa" w:w="80"/>
            </w:tcMar>
          </w:tcPr>
          <w:p>
            <w:pPr>
              <w:spacing w:after="60"/>
            </w:pPr>
            <w:r>
              <w:rPr>
                <w:color w:val="0B2748"/>
                <w:sz w:val="18"/>
                <w:szCs w:val="18"/>
              </w:rPr>
              <w:t xml:space="preserve">Distribute or facilitate market-based access to drought-tolerant and nutrient-dense planting material through community seed systems and agro-dealer networks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3</w:t>
            </w:r>
          </w:p>
        </w:tc>
        <w:tc>
          <w:tcPr>
            <w:tcW w:type="pct" w:w="30%"/>
            <w:tcMar>
              <w:top w:type="dxa" w:w="50"/>
              <w:left w:type="dxa" w:w="80"/>
              <w:bottom w:type="dxa" w:w="50"/>
              <w:right w:type="dxa" w:w="80"/>
            </w:tcMar>
          </w:tcPr>
          <w:p>
            <w:pPr>
              <w:spacing w:after="60"/>
            </w:pPr>
            <w:r>
              <w:rPr>
                <w:color w:val="0B2748"/>
                <w:sz w:val="18"/>
                <w:szCs w:val="18"/>
              </w:rPr>
              <w:t xml:space="preserve">Train households on home gardening, small livestock production, and nutrient-dense crop production using practical, home-based demonstrations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4</w:t>
            </w:r>
          </w:p>
        </w:tc>
        <w:tc>
          <w:tcPr>
            <w:tcW w:type="pct" w:w="30%"/>
            <w:tcMar>
              <w:top w:type="dxa" w:w="50"/>
              <w:left w:type="dxa" w:w="80"/>
              <w:bottom w:type="dxa" w:w="50"/>
              <w:right w:type="dxa" w:w="80"/>
            </w:tcMar>
          </w:tcPr>
          <w:p>
            <w:pPr>
              <w:spacing w:after="60"/>
            </w:pPr>
            <w:r>
              <w:rPr>
                <w:color w:val="0B2748"/>
                <w:sz w:val="18"/>
                <w:szCs w:val="18"/>
              </w:rPr>
              <w:t xml:space="preserve">Demonstrate post-harvest handling, storage, and processing technologies to participating households through practical, home-based sessions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5</w:t>
            </w:r>
          </w:p>
        </w:tc>
        <w:tc>
          <w:tcPr>
            <w:tcW w:type="pct" w:w="30%"/>
            <w:tcMar>
              <w:top w:type="dxa" w:w="50"/>
              <w:left w:type="dxa" w:w="80"/>
              <w:bottom w:type="dxa" w:w="50"/>
              <w:right w:type="dxa" w:w="80"/>
            </w:tcMar>
          </w:tcPr>
          <w:p>
            <w:pPr>
              <w:spacing w:after="60"/>
            </w:pPr>
            <w:r>
              <w:rPr>
                <w:color w:val="0B2748"/>
                <w:sz w:val="18"/>
                <w:szCs w:val="18"/>
              </w:rPr>
              <w:t xml:space="preserve">Train lead farmers, extension officers, and community facilitators to provide continued mentorship and replication beyond the project period</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bl>
    <w:p>
      <w:pPr>
        <w:keepNext/>
        <w:spacing w:after="100" w:before="280"/>
      </w:pPr>
      <w:r>
        <w:rPr>
          <w:b/>
          <w:bCs/>
          <w:color w:val="0B2748"/>
          <w:sz w:val="28"/>
          <w:szCs w:val="28"/>
        </w:rPr>
        <w:t xml:space="preserve">Indicator Details</w:t>
      </w:r>
    </w:p>
    <w:p>
      <w:pPr>
        <w:keepNext/>
        <w:spacing w:after="40" w:before="160"/>
      </w:pPr>
      <w:r>
        <w:rPr>
          <w:b/>
          <w:bCs/>
          <w:color w:val="0B2748"/>
          <w:sz w:val="20"/>
          <w:szCs w:val="20"/>
        </w:rPr>
        <w:t xml:space="preserve">Impact 1.1  Proportion of participating households experiencing moderate or severe food insecurity, measured with the Food Insecurity Experience Scale (FIES)</w:t>
      </w:r>
    </w:p>
    <w:p>
      <w:pPr>
        <w:spacing w:after="30"/>
      </w:pPr>
      <w:r>
        <w:rPr>
          <w:b/>
          <w:bCs/>
          <w:color w:val="0B2748"/>
          <w:sz w:val="19"/>
          <w:szCs w:val="19"/>
        </w:rPr>
        <w:t xml:space="preserve">Definition: </w:t>
      </w:r>
      <w:r>
        <w:rPr>
          <w:color w:val="0B2748"/>
          <w:sz w:val="19"/>
          <w:szCs w:val="19"/>
        </w:rPr>
        <w:t xml:space="preserve">The percentage of participating households whose responses to the eight-question Food Insecurity Experience Scale place them in the moderate or severe food insecurity range over the past 12 months. Collected through the program's own household survey of a representative sample of participating households, in the same season at baseline and endline, so that results describe the program population rather than the national population.</w:t>
      </w:r>
    </w:p>
    <w:p>
      <w:pPr>
        <w:spacing w:after="30"/>
      </w:pPr>
      <w:r>
        <w:rPr>
          <w:b/>
          <w:bCs/>
          <w:color w:val="0B2748"/>
          <w:sz w:val="19"/>
          <w:szCs w:val="19"/>
        </w:rPr>
        <w:t xml:space="preserve">Disaggregation: </w:t>
      </w:r>
      <w:r>
        <w:rPr>
          <w:color w:val="0B2748"/>
          <w:sz w:val="19"/>
          <w:szCs w:val="19"/>
        </w:rPr>
        <w:t xml:space="preserve">sex of household head, household size, land size category, location, wealth quintile</w:t>
      </w:r>
    </w:p>
    <w:p>
      <w:pPr>
        <w:spacing w:after="30"/>
      </w:pPr>
      <w:r>
        <w:rPr>
          <w:b/>
          <w:bCs/>
          <w:color w:val="0B2748"/>
          <w:sz w:val="19"/>
          <w:szCs w:val="19"/>
        </w:rPr>
        <w:t xml:space="preserve">Data source: </w:t>
      </w:r>
      <w:r>
        <w:rPr>
          <w:color w:val="0B2748"/>
          <w:sz w:val="19"/>
          <w:szCs w:val="19"/>
        </w:rPr>
        <w:t xml:space="preserve">Survey of participating households using the eight-question Food Insecurity Experience Scale, at baseline and endline</w:t>
      </w:r>
    </w:p>
    <w:p>
      <w:pPr>
        <w:spacing w:after="30"/>
      </w:pPr>
      <w:r>
        <w:rPr>
          <w:b/>
          <w:bCs/>
          <w:color w:val="0B2748"/>
          <w:sz w:val="19"/>
          <w:szCs w:val="19"/>
        </w:rPr>
        <w:t xml:space="preserve">Frequency: </w:t>
      </w:r>
      <w:r>
        <w:rPr>
          <w:color w:val="0B2748"/>
          <w:sz w:val="19"/>
          <w:szCs w:val="19"/>
        </w:rPr>
        <w:t xml:space="preserve">Baseline and endline (same season each round)</w:t>
      </w:r>
    </w:p>
    <w:p>
      <w:pPr>
        <w:keepNext/>
        <w:spacing w:after="40" w:before="160"/>
      </w:pPr>
      <w:r>
        <w:rPr>
          <w:b/>
          <w:bCs/>
          <w:color w:val="0B2748"/>
          <w:sz w:val="20"/>
          <w:szCs w:val="20"/>
        </w:rPr>
        <w:t xml:space="preserve">Outcome 1.1  Proportion of participating households applying at least one promoted climate-smart agriculture practice on their plots in the most recent growing season</w:t>
      </w:r>
    </w:p>
    <w:p>
      <w:pPr>
        <w:spacing w:after="30"/>
      </w:pPr>
      <w:r>
        <w:rPr>
          <w:b/>
          <w:bCs/>
          <w:color w:val="0B2748"/>
          <w:sz w:val="19"/>
          <w:szCs w:val="19"/>
        </w:rPr>
        <w:t xml:space="preserve">Definition: </w:t>
      </w:r>
      <w:r>
        <w:rPr>
          <w:color w:val="0B2748"/>
          <w:sz w:val="19"/>
          <w:szCs w:val="19"/>
        </w:rPr>
        <w:t xml:space="preserve">The percentage of participating households that applied at least one climate-smart agriculture practice promoted by the program (such as drought-tolerant varieties, soil and water conservation, water harvesting, conservation tillage, or diversified cropping) on their own plots in the most recent growing season, confirmed by enumerator observation of the plot where possible.</w:t>
      </w:r>
    </w:p>
    <w:p>
      <w:pPr>
        <w:spacing w:after="30"/>
      </w:pPr>
      <w:r>
        <w:rPr>
          <w:b/>
          <w:bCs/>
          <w:color w:val="0B2748"/>
          <w:sz w:val="19"/>
          <w:szCs w:val="19"/>
        </w:rPr>
        <w:t xml:space="preserve">Disaggregation: </w:t>
      </w:r>
      <w:r>
        <w:rPr>
          <w:color w:val="0B2748"/>
          <w:sz w:val="19"/>
          <w:szCs w:val="19"/>
        </w:rPr>
        <w:t xml:space="preserve">sex of household head, land size category, location, wealth quintile</w:t>
      </w:r>
    </w:p>
    <w:p>
      <w:pPr>
        <w:spacing w:after="30"/>
      </w:pPr>
      <w:r>
        <w:rPr>
          <w:b/>
          <w:bCs/>
          <w:color w:val="0B2748"/>
          <w:sz w:val="19"/>
          <w:szCs w:val="19"/>
        </w:rPr>
        <w:t xml:space="preserve">Data source: </w:t>
      </w:r>
      <w:r>
        <w:rPr>
          <w:color w:val="0B2748"/>
          <w:sz w:val="19"/>
          <w:szCs w:val="19"/>
        </w:rPr>
        <w:t xml:space="preserve">Household surveys and farm-level observations conducted periodically and at endline</w:t>
      </w:r>
    </w:p>
    <w:p>
      <w:pPr>
        <w:spacing w:after="30"/>
      </w:pPr>
      <w:r>
        <w:rPr>
          <w:b/>
          <w:bCs/>
          <w:color w:val="0B2748"/>
          <w:sz w:val="19"/>
          <w:szCs w:val="19"/>
        </w:rPr>
        <w:t xml:space="preserve">Frequency: </w:t>
      </w:r>
      <w:r>
        <w:rPr>
          <w:color w:val="0B2748"/>
          <w:sz w:val="19"/>
          <w:szCs w:val="19"/>
        </w:rPr>
        <w:t xml:space="preserve">Baseline, then annually after the main growing season</w:t>
      </w:r>
    </w:p>
    <w:p>
      <w:pPr>
        <w:keepNext/>
        <w:spacing w:after="40" w:before="160"/>
      </w:pPr>
      <w:r>
        <w:rPr>
          <w:b/>
          <w:bCs/>
          <w:color w:val="0B2748"/>
          <w:sz w:val="20"/>
          <w:szCs w:val="20"/>
        </w:rPr>
        <w:t xml:space="preserve">Outcome 2.1  Average Household Dietary Diversity Score (HDDS, 0 to 12) among participating households</w:t>
      </w:r>
    </w:p>
    <w:p>
      <w:pPr>
        <w:spacing w:after="30"/>
      </w:pPr>
      <w:r>
        <w:rPr>
          <w:b/>
          <w:bCs/>
          <w:color w:val="0B2748"/>
          <w:sz w:val="19"/>
          <w:szCs w:val="19"/>
        </w:rPr>
        <w:t xml:space="preserve">Definition: </w:t>
      </w:r>
      <w:r>
        <w:rPr>
          <w:color w:val="0B2748"/>
          <w:sz w:val="19"/>
          <w:szCs w:val="19"/>
        </w:rPr>
        <w:t xml:space="preserve">The mean number of food groups, out of 12, consumed by any household member in the previous 24 hours, using the standard Household Dietary Diversity Score recall. Collect in the same season at baseline and endline, because dietary diversity varies with the harvest cycle; an increase from baseline shows improved dietary diversity.</w:t>
      </w:r>
    </w:p>
    <w:p>
      <w:pPr>
        <w:spacing w:after="30"/>
      </w:pPr>
      <w:r>
        <w:rPr>
          <w:b/>
          <w:bCs/>
          <w:color w:val="0B2748"/>
          <w:sz w:val="19"/>
          <w:szCs w:val="19"/>
        </w:rPr>
        <w:t xml:space="preserve">Disaggregation: </w:t>
      </w:r>
      <w:r>
        <w:rPr>
          <w:color w:val="0B2748"/>
          <w:sz w:val="19"/>
          <w:szCs w:val="19"/>
        </w:rPr>
        <w:t xml:space="preserve">sex of household head, household size, location, wealth quintile</w:t>
      </w:r>
    </w:p>
    <w:p>
      <w:pPr>
        <w:spacing w:after="30"/>
      </w:pPr>
      <w:r>
        <w:rPr>
          <w:b/>
          <w:bCs/>
          <w:color w:val="0B2748"/>
          <w:sz w:val="19"/>
          <w:szCs w:val="19"/>
        </w:rPr>
        <w:t xml:space="preserve">Data source: </w:t>
      </w:r>
      <w:r>
        <w:rPr>
          <w:color w:val="0B2748"/>
          <w:sz w:val="19"/>
          <w:szCs w:val="19"/>
        </w:rPr>
        <w:t xml:space="preserve">Household survey at baseline and endline, in the same season, using the standard 24-hour Household Dietary Diversity Score recall</w:t>
      </w:r>
    </w:p>
    <w:p>
      <w:pPr>
        <w:spacing w:after="30"/>
      </w:pPr>
      <w:r>
        <w:rPr>
          <w:b/>
          <w:bCs/>
          <w:color w:val="0B2748"/>
          <w:sz w:val="19"/>
          <w:szCs w:val="19"/>
        </w:rPr>
        <w:t xml:space="preserve">Frequency: </w:t>
      </w:r>
      <w:r>
        <w:rPr>
          <w:color w:val="0B2748"/>
          <w:sz w:val="19"/>
          <w:szCs w:val="19"/>
        </w:rPr>
        <w:t xml:space="preserve">Baseline and endline (same season each round)</w:t>
      </w:r>
    </w:p>
    <w:p>
      <w:pPr>
        <w:keepNext/>
        <w:spacing w:after="40" w:before="160"/>
      </w:pPr>
      <w:r>
        <w:rPr>
          <w:b/>
          <w:bCs/>
          <w:color w:val="0B2748"/>
          <w:sz w:val="20"/>
          <w:szCs w:val="20"/>
        </w:rPr>
        <w:t xml:space="preserve">Outcome 2.2  Proportion of participating households using at least two improved post-harvest storage or preservation practices</w:t>
      </w:r>
    </w:p>
    <w:p>
      <w:pPr>
        <w:spacing w:after="30"/>
      </w:pPr>
      <w:r>
        <w:rPr>
          <w:b/>
          <w:bCs/>
          <w:color w:val="0B2748"/>
          <w:sz w:val="19"/>
          <w:szCs w:val="19"/>
        </w:rPr>
        <w:t xml:space="preserve">Definition: </w:t>
      </w:r>
      <w:r>
        <w:rPr>
          <w:color w:val="0B2748"/>
          <w:sz w:val="19"/>
          <w:szCs w:val="19"/>
        </w:rPr>
        <w:t xml:space="preserve">The percentage of participating households using at least two improved food preservation or storage practices (such as hermetic storage bags, solar dryers, or improved granaries) for their most recent harvest to reduce post-harvest losses, confirmed by direct observation where possible.</w:t>
      </w:r>
    </w:p>
    <w:p>
      <w:pPr>
        <w:spacing w:after="30"/>
      </w:pPr>
      <w:r>
        <w:rPr>
          <w:b/>
          <w:bCs/>
          <w:color w:val="0B2748"/>
          <w:sz w:val="19"/>
          <w:szCs w:val="19"/>
        </w:rPr>
        <w:t xml:space="preserve">Disaggregation: </w:t>
      </w:r>
      <w:r>
        <w:rPr>
          <w:color w:val="0B2748"/>
          <w:sz w:val="19"/>
          <w:szCs w:val="19"/>
        </w:rPr>
        <w:t xml:space="preserve">sex of household head, land size category, location</w:t>
      </w:r>
    </w:p>
    <w:p>
      <w:pPr>
        <w:spacing w:after="30"/>
      </w:pPr>
      <w:r>
        <w:rPr>
          <w:b/>
          <w:bCs/>
          <w:color w:val="0B2748"/>
          <w:sz w:val="19"/>
          <w:szCs w:val="19"/>
        </w:rPr>
        <w:t xml:space="preserve">Data source: </w:t>
      </w:r>
      <w:r>
        <w:rPr>
          <w:color w:val="0B2748"/>
          <w:sz w:val="19"/>
          <w:szCs w:val="19"/>
        </w:rPr>
        <w:t xml:space="preserve">Household surveys and direct observation checklists administered periodically and at endline</w:t>
      </w:r>
    </w:p>
    <w:p>
      <w:pPr>
        <w:spacing w:after="30"/>
      </w:pPr>
      <w:r>
        <w:rPr>
          <w:b/>
          <w:bCs/>
          <w:color w:val="0B2748"/>
          <w:sz w:val="19"/>
          <w:szCs w:val="19"/>
        </w:rPr>
        <w:t xml:space="preserve">Frequency: </w:t>
      </w:r>
      <w:r>
        <w:rPr>
          <w:color w:val="0B2748"/>
          <w:sz w:val="19"/>
          <w:szCs w:val="19"/>
        </w:rPr>
        <w:t xml:space="preserve">Baseline, then annually after the main harvest</w:t>
      </w:r>
    </w:p>
    <w:p>
      <w:pPr>
        <w:keepNext/>
        <w:spacing w:after="40" w:before="160"/>
      </w:pPr>
      <w:r>
        <w:rPr>
          <w:b/>
          <w:bCs/>
          <w:color w:val="0B2748"/>
          <w:sz w:val="20"/>
          <w:szCs w:val="20"/>
        </w:rPr>
        <w:t xml:space="preserve">Outcome 3.1  Proportion of supported communities where trained lead farmers or community-based facilitators are still providing climate-smart agriculture mentorship 12 months after direct program activity ends</w:t>
      </w:r>
    </w:p>
    <w:p>
      <w:pPr>
        <w:spacing w:after="30"/>
      </w:pPr>
      <w:r>
        <w:rPr>
          <w:b/>
          <w:bCs/>
          <w:color w:val="0B2748"/>
          <w:sz w:val="19"/>
          <w:szCs w:val="19"/>
        </w:rPr>
        <w:t xml:space="preserve">Definition: </w:t>
      </w:r>
      <w:r>
        <w:rPr>
          <w:color w:val="0B2748"/>
          <w:sz w:val="19"/>
          <w:szCs w:val="19"/>
        </w:rPr>
        <w:t xml:space="preserve">The percentage of supported communities where lead farmers or community-based facilitators trained by the program delivered at least five documented climate-smart agriculture mentorship sessions to other farmers in the 12 months after direct program activity in that community ended.</w:t>
      </w:r>
    </w:p>
    <w:p>
      <w:pPr>
        <w:spacing w:after="30"/>
      </w:pPr>
      <w:r>
        <w:rPr>
          <w:b/>
          <w:bCs/>
          <w:color w:val="0B2748"/>
          <w:sz w:val="19"/>
          <w:szCs w:val="19"/>
        </w:rPr>
        <w:t xml:space="preserve">Disaggregation: </w:t>
      </w:r>
      <w:r>
        <w:rPr>
          <w:color w:val="0B2748"/>
          <w:sz w:val="19"/>
          <w:szCs w:val="19"/>
        </w:rPr>
        <w:t xml:space="preserve">location</w:t>
      </w:r>
    </w:p>
    <w:p>
      <w:pPr>
        <w:spacing w:after="30"/>
      </w:pPr>
      <w:r>
        <w:rPr>
          <w:b/>
          <w:bCs/>
          <w:color w:val="0B2748"/>
          <w:sz w:val="19"/>
          <w:szCs w:val="19"/>
        </w:rPr>
        <w:t xml:space="preserve">Data source: </w:t>
      </w:r>
      <w:r>
        <w:rPr>
          <w:color w:val="0B2748"/>
          <w:sz w:val="19"/>
          <w:szCs w:val="19"/>
        </w:rPr>
        <w:t xml:space="preserve">Community-level surveys and lead farmer activity logs combined with key informant interviews with extension officers, conducted 6 and 12 months after program activity in each community</w:t>
      </w:r>
    </w:p>
    <w:p>
      <w:pPr>
        <w:spacing w:after="30"/>
      </w:pPr>
      <w:r>
        <w:rPr>
          <w:b/>
          <w:bCs/>
          <w:color w:val="0B2748"/>
          <w:sz w:val="19"/>
          <w:szCs w:val="19"/>
        </w:rPr>
        <w:t xml:space="preserve">Frequency: </w:t>
      </w:r>
      <w:r>
        <w:rPr>
          <w:color w:val="0B2748"/>
          <w:sz w:val="19"/>
          <w:szCs w:val="19"/>
        </w:rPr>
        <w:t xml:space="preserve">6 and 12 months after program activity ends in each community</w:t>
      </w:r>
    </w:p>
    <w:p>
      <w:pPr>
        <w:keepNext/>
        <w:spacing w:after="40" w:before="160"/>
      </w:pPr>
      <w:r>
        <w:rPr>
          <w:b/>
          <w:bCs/>
          <w:color w:val="0B2748"/>
          <w:sz w:val="20"/>
          <w:szCs w:val="20"/>
        </w:rPr>
        <w:t xml:space="preserve">Output 1.1  Number of smallholder farmers who completed the season-long farmer field school curriculum on climate-smart agriculture practices</w:t>
      </w:r>
    </w:p>
    <w:p>
      <w:pPr>
        <w:spacing w:after="30"/>
      </w:pPr>
      <w:r>
        <w:rPr>
          <w:b/>
          <w:bCs/>
          <w:color w:val="0B2748"/>
          <w:sz w:val="19"/>
          <w:szCs w:val="19"/>
        </w:rPr>
        <w:t xml:space="preserve">Definition: </w:t>
      </w:r>
      <w:r>
        <w:rPr>
          <w:color w:val="0B2748"/>
          <w:sz w:val="19"/>
          <w:szCs w:val="19"/>
        </w:rPr>
        <w:t xml:space="preserve">The count of unique smallholder farmers who attended at least 75 percent of season-long farmer field school sessions on climate-smart agriculture and demonstration plots, deduplicated across cohorts.</w:t>
      </w:r>
    </w:p>
    <w:p>
      <w:pPr>
        <w:spacing w:after="30"/>
      </w:pPr>
      <w:r>
        <w:rPr>
          <w:b/>
          <w:bCs/>
          <w:color w:val="0B2748"/>
          <w:sz w:val="19"/>
          <w:szCs w:val="19"/>
        </w:rPr>
        <w:t xml:space="preserve">Disaggregation: </w:t>
      </w:r>
      <w:r>
        <w:rPr>
          <w:color w:val="0B2748"/>
          <w:sz w:val="19"/>
          <w:szCs w:val="19"/>
        </w:rPr>
        <w:t xml:space="preserve">sex of household head, land size category, location</w:t>
      </w:r>
    </w:p>
    <w:p>
      <w:pPr>
        <w:spacing w:after="30"/>
      </w:pPr>
      <w:r>
        <w:rPr>
          <w:b/>
          <w:bCs/>
          <w:color w:val="0B2748"/>
          <w:sz w:val="19"/>
          <w:szCs w:val="19"/>
        </w:rPr>
        <w:t xml:space="preserve">Data source: </w:t>
      </w:r>
      <w:r>
        <w:rPr>
          <w:color w:val="0B2748"/>
          <w:sz w:val="19"/>
          <w:szCs w:val="19"/>
        </w:rPr>
        <w:t xml:space="preserve">Farmer field school attendance registers maintained by facilitators, with unique-farmer deduplication and end-of-cycle completion certification</w:t>
      </w:r>
    </w:p>
    <w:p>
      <w:pPr>
        <w:spacing w:after="30"/>
      </w:pPr>
      <w:r>
        <w:rPr>
          <w:b/>
          <w:bCs/>
          <w:color w:val="0B2748"/>
          <w:sz w:val="19"/>
          <w:szCs w:val="19"/>
        </w:rPr>
        <w:t xml:space="preserve">Frequency: </w:t>
      </w:r>
      <w:r>
        <w:rPr>
          <w:color w:val="0B2748"/>
          <w:sz w:val="19"/>
          <w:szCs w:val="19"/>
        </w:rPr>
        <w:t xml:space="preserve">Each season (end of each field school cycle)</w:t>
      </w:r>
    </w:p>
    <w:p>
      <w:pPr>
        <w:keepNext/>
        <w:spacing w:after="40" w:before="160"/>
      </w:pPr>
      <w:r>
        <w:rPr>
          <w:b/>
          <w:bCs/>
          <w:color w:val="0B2748"/>
          <w:sz w:val="20"/>
          <w:szCs w:val="20"/>
        </w:rPr>
        <w:t xml:space="preserve">Output 2.1  Number of participating households who received or purchased drought-tolerant or nutrient-dense seed and small-scale inputs through program-supported community seed systems or agro-dealer networks</w:t>
      </w:r>
    </w:p>
    <w:p>
      <w:pPr>
        <w:spacing w:after="30"/>
      </w:pPr>
      <w:r>
        <w:rPr>
          <w:b/>
          <w:bCs/>
          <w:color w:val="0B2748"/>
          <w:sz w:val="19"/>
          <w:szCs w:val="19"/>
        </w:rPr>
        <w:t xml:space="preserve">Definition: </w:t>
      </w:r>
      <w:r>
        <w:rPr>
          <w:color w:val="0B2748"/>
          <w:sz w:val="19"/>
          <w:szCs w:val="19"/>
        </w:rPr>
        <w:t xml:space="preserve">The count of participating households that obtained drought-tolerant or nutrient-dense planting material and small-scale inputs (seedlings, basic tools, soil amendments) through community seed systems, voucher schemes, or agro-dealer networks supported by the program.</w:t>
      </w:r>
    </w:p>
    <w:p>
      <w:pPr>
        <w:spacing w:after="30"/>
      </w:pPr>
      <w:r>
        <w:rPr>
          <w:b/>
          <w:bCs/>
          <w:color w:val="0B2748"/>
          <w:sz w:val="19"/>
          <w:szCs w:val="19"/>
        </w:rPr>
        <w:t xml:space="preserve">Disaggregation: </w:t>
      </w:r>
      <w:r>
        <w:rPr>
          <w:color w:val="0B2748"/>
          <w:sz w:val="19"/>
          <w:szCs w:val="19"/>
        </w:rPr>
        <w:t xml:space="preserve">sex of household head, land size category, location</w:t>
      </w:r>
    </w:p>
    <w:p>
      <w:pPr>
        <w:spacing w:after="30"/>
      </w:pPr>
      <w:r>
        <w:rPr>
          <w:b/>
          <w:bCs/>
          <w:color w:val="0B2748"/>
          <w:sz w:val="19"/>
          <w:szCs w:val="19"/>
        </w:rPr>
        <w:t xml:space="preserve">Data source: </w:t>
      </w:r>
      <w:r>
        <w:rPr>
          <w:color w:val="0B2748"/>
          <w:sz w:val="19"/>
          <w:szCs w:val="19"/>
        </w:rPr>
        <w:t xml:space="preserve">Distribution and redemption records from community seed systems and agro-dealer voucher schemes, cross-checked with household receipts during routine monitoring</w:t>
      </w:r>
    </w:p>
    <w:p>
      <w:pPr>
        <w:spacing w:after="30"/>
      </w:pPr>
      <w:r>
        <w:rPr>
          <w:b/>
          <w:bCs/>
          <w:color w:val="0B2748"/>
          <w:sz w:val="19"/>
          <w:szCs w:val="19"/>
        </w:rPr>
        <w:t xml:space="preserve">Frequency: </w:t>
      </w:r>
      <w:r>
        <w:rPr>
          <w:color w:val="0B2748"/>
          <w:sz w:val="19"/>
          <w:szCs w:val="19"/>
        </w:rPr>
        <w:t xml:space="preserve">Each planting season</w:t>
      </w:r>
    </w:p>
    <w:p>
      <w:pPr>
        <w:keepNext/>
        <w:spacing w:after="40" w:before="160"/>
      </w:pPr>
      <w:r>
        <w:rPr>
          <w:b/>
          <w:bCs/>
          <w:color w:val="0B2748"/>
          <w:sz w:val="20"/>
          <w:szCs w:val="20"/>
        </w:rPr>
        <w:t xml:space="preserve">Output 3.1  Number of participating households trained on home gardening, small livestock production, and nutrient-dense crop production for household consumption</w:t>
      </w:r>
    </w:p>
    <w:p>
      <w:pPr>
        <w:spacing w:after="30"/>
      </w:pPr>
      <w:r>
        <w:rPr>
          <w:b/>
          <w:bCs/>
          <w:color w:val="0B2748"/>
          <w:sz w:val="19"/>
          <w:szCs w:val="19"/>
        </w:rPr>
        <w:t xml:space="preserve">Definition: </w:t>
      </w:r>
      <w:r>
        <w:rPr>
          <w:color w:val="0B2748"/>
          <w:sz w:val="19"/>
          <w:szCs w:val="19"/>
        </w:rPr>
        <w:t xml:space="preserve">The count of unique participating households where at least one household member completed practical training on home gardening, small livestock production, and nutrient-dense crop production for household consumption, documented in training registers.</w:t>
      </w:r>
    </w:p>
    <w:p>
      <w:pPr>
        <w:spacing w:after="30"/>
      </w:pPr>
      <w:r>
        <w:rPr>
          <w:b/>
          <w:bCs/>
          <w:color w:val="0B2748"/>
          <w:sz w:val="19"/>
          <w:szCs w:val="19"/>
        </w:rPr>
        <w:t xml:space="preserve">Disaggregation: </w:t>
      </w:r>
      <w:r>
        <w:rPr>
          <w:color w:val="0B2748"/>
          <w:sz w:val="19"/>
          <w:szCs w:val="19"/>
        </w:rPr>
        <w:t xml:space="preserve">sex of household head, household size, location</w:t>
      </w:r>
    </w:p>
    <w:p>
      <w:pPr>
        <w:spacing w:after="30"/>
      </w:pPr>
      <w:r>
        <w:rPr>
          <w:b/>
          <w:bCs/>
          <w:color w:val="0B2748"/>
          <w:sz w:val="19"/>
          <w:szCs w:val="19"/>
        </w:rPr>
        <w:t xml:space="preserve">Data source: </w:t>
      </w:r>
      <w:r>
        <w:rPr>
          <w:color w:val="0B2748"/>
          <w:sz w:val="19"/>
          <w:szCs w:val="19"/>
        </w:rPr>
        <w:t xml:space="preserve">Training attendance registers and post-training household visits to confirm participation, consolidated through routine monthly reporting</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Output 4.1  Number of participating households that attended at least one post-harvest handling, storage, or processing demonstration</w:t>
      </w:r>
    </w:p>
    <w:p>
      <w:pPr>
        <w:spacing w:after="30"/>
      </w:pPr>
      <w:r>
        <w:rPr>
          <w:b/>
          <w:bCs/>
          <w:color w:val="0B2748"/>
          <w:sz w:val="19"/>
          <w:szCs w:val="19"/>
        </w:rPr>
        <w:t xml:space="preserve">Definition: </w:t>
      </w:r>
      <w:r>
        <w:rPr>
          <w:color w:val="0B2748"/>
          <w:sz w:val="19"/>
          <w:szCs w:val="19"/>
        </w:rPr>
        <w:t xml:space="preserve">The count of unique participating households where at least one household member attended a structured, practical demonstration of post-harvest handling, storage, or processing technologies delivered by the program, deduplicated across sessions.</w:t>
      </w:r>
    </w:p>
    <w:p>
      <w:pPr>
        <w:spacing w:after="30"/>
      </w:pPr>
      <w:r>
        <w:rPr>
          <w:b/>
          <w:bCs/>
          <w:color w:val="0B2748"/>
          <w:sz w:val="19"/>
          <w:szCs w:val="19"/>
        </w:rPr>
        <w:t xml:space="preserve">Disaggregation: </w:t>
      </w:r>
      <w:r>
        <w:rPr>
          <w:color w:val="0B2748"/>
          <w:sz w:val="19"/>
          <w:szCs w:val="19"/>
        </w:rPr>
        <w:t xml:space="preserve">sex of household head, location</w:t>
      </w:r>
    </w:p>
    <w:p>
      <w:pPr>
        <w:spacing w:after="30"/>
      </w:pPr>
      <w:r>
        <w:rPr>
          <w:b/>
          <w:bCs/>
          <w:color w:val="0B2748"/>
          <w:sz w:val="19"/>
          <w:szCs w:val="19"/>
        </w:rPr>
        <w:t xml:space="preserve">Data source: </w:t>
      </w:r>
      <w:r>
        <w:rPr>
          <w:color w:val="0B2748"/>
          <w:sz w:val="19"/>
          <w:szCs w:val="19"/>
        </w:rPr>
        <w:t xml:space="preserve">Training attendance sheets, facilitator reports, and program activity logs collected after each workshop</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Output 5.1  Number of lead farmers, agriculture extension officers, and community-based facilitators trained and assessed as competent to provide continuing mentorship on climate-smart agriculture</w:t>
      </w:r>
    </w:p>
    <w:p>
      <w:pPr>
        <w:spacing w:after="30"/>
      </w:pPr>
      <w:r>
        <w:rPr>
          <w:b/>
          <w:bCs/>
          <w:color w:val="0B2748"/>
          <w:sz w:val="19"/>
          <w:szCs w:val="19"/>
        </w:rPr>
        <w:t xml:space="preserve">Definition: </w:t>
      </w:r>
      <w:r>
        <w:rPr>
          <w:color w:val="0B2748"/>
          <w:sz w:val="19"/>
          <w:szCs w:val="19"/>
        </w:rPr>
        <w:t xml:space="preserve">The count of lead farmers, agriculture extension officers, and community-based facilitators who completed the program's full training curriculum on climate-smart agriculture and achieved a passing score on a structured competency assessment, with their roles formalized in their communities.</w:t>
      </w:r>
    </w:p>
    <w:p>
      <w:pPr>
        <w:spacing w:after="30"/>
      </w:pPr>
      <w:r>
        <w:rPr>
          <w:b/>
          <w:bCs/>
          <w:color w:val="0B2748"/>
          <w:sz w:val="19"/>
          <w:szCs w:val="19"/>
        </w:rPr>
        <w:t xml:space="preserve">Disaggregation: </w:t>
      </w:r>
      <w:r>
        <w:rPr>
          <w:color w:val="0B2748"/>
          <w:sz w:val="19"/>
          <w:szCs w:val="19"/>
        </w:rPr>
        <w:t xml:space="preserve">location</w:t>
      </w:r>
    </w:p>
    <w:p>
      <w:pPr>
        <w:spacing w:after="30"/>
      </w:pPr>
      <w:r>
        <w:rPr>
          <w:b/>
          <w:bCs/>
          <w:color w:val="0B2748"/>
          <w:sz w:val="19"/>
          <w:szCs w:val="19"/>
        </w:rPr>
        <w:t xml:space="preserve">Data source: </w:t>
      </w:r>
      <w:r>
        <w:rPr>
          <w:color w:val="0B2748"/>
          <w:sz w:val="19"/>
          <w:szCs w:val="19"/>
        </w:rPr>
        <w:t xml:space="preserve">Training attendance and competency assessment records, complemented by role designation documentation issued by program and extension service partners</w:t>
      </w:r>
    </w:p>
    <w:p>
      <w:pPr>
        <w:spacing w:after="30"/>
      </w:pPr>
      <w:r>
        <w:rPr>
          <w:b/>
          <w:bCs/>
          <w:color w:val="0B2748"/>
          <w:sz w:val="19"/>
          <w:szCs w:val="19"/>
        </w:rPr>
        <w:t xml:space="preserve">Frequency: </w:t>
      </w:r>
      <w:r>
        <w:rPr>
          <w:color w:val="0B2748"/>
          <w:sz w:val="19"/>
          <w:szCs w:val="19"/>
        </w:rPr>
        <w:t xml:space="preserve">Quarterly</w:t>
      </w:r>
    </w:p>
    <w:p>
      <w:pPr>
        <w:keepNext/>
        <w:spacing w:after="100" w:before="280"/>
      </w:pPr>
      <w:r>
        <w:rPr>
          <w:b/>
          <w:bCs/>
          <w:color w:val="0B2748"/>
          <w:sz w:val="28"/>
          <w:szCs w:val="28"/>
        </w:rPr>
        <w:t xml:space="preserve">Assumptions</w:t>
      </w:r>
    </w:p>
    <w:p>
      <w:pPr>
        <w:pStyle w:val="ListParagraph"/>
        <w:numPr>
          <w:ilvl w:val="0"/>
          <w:numId w:val="1"/>
        </w:numPr>
        <w:spacing w:after="40"/>
      </w:pPr>
      <w:r>
        <w:rPr>
          <w:color w:val="0B2748"/>
          <w:sz w:val="19"/>
          <w:szCs w:val="19"/>
        </w:rPr>
        <w:t xml:space="preserve">Climate variability remains within the range that climate-smart practices are designed to address</w:t>
      </w:r>
    </w:p>
    <w:p>
      <w:pPr>
        <w:pStyle w:val="ListParagraph"/>
        <w:numPr>
          <w:ilvl w:val="0"/>
          <w:numId w:val="1"/>
        </w:numPr>
        <w:spacing w:after="40"/>
      </w:pPr>
      <w:r>
        <w:rPr>
          <w:color w:val="0B2748"/>
          <w:sz w:val="19"/>
          <w:szCs w:val="19"/>
        </w:rPr>
        <w:t xml:space="preserve">Smallholder farming households have access to sufficient land, labor, and water to apply the recommended practices</w:t>
      </w:r>
    </w:p>
    <w:p>
      <w:pPr>
        <w:pStyle w:val="ListParagraph"/>
        <w:numPr>
          <w:ilvl w:val="0"/>
          <w:numId w:val="1"/>
        </w:numPr>
        <w:spacing w:after="40"/>
      </w:pPr>
      <w:r>
        <w:rPr>
          <w:color w:val="0B2748"/>
          <w:sz w:val="19"/>
          <w:szCs w:val="19"/>
        </w:rPr>
        <w:t xml:space="preserve">Local seed systems and agro-dealer networks can supply the recommended planting material at affordable prices</w:t>
      </w:r>
    </w:p>
    <w:p>
      <w:pPr>
        <w:pStyle w:val="ListParagraph"/>
        <w:numPr>
          <w:ilvl w:val="0"/>
          <w:numId w:val="1"/>
        </w:numPr>
        <w:spacing w:after="40"/>
      </w:pPr>
      <w:r>
        <w:rPr>
          <w:color w:val="0B2748"/>
          <w:sz w:val="19"/>
          <w:szCs w:val="19"/>
        </w:rPr>
        <w:t xml:space="preserve">Extension services and community-based facilitators continue to operate after the project period</w:t>
      </w:r>
    </w:p>
    <w:p>
      <w:pPr>
        <w:pStyle w:val="ListParagraph"/>
        <w:numPr>
          <w:ilvl w:val="0"/>
          <w:numId w:val="1"/>
        </w:numPr>
        <w:spacing w:after="40"/>
      </w:pPr>
      <w:r>
        <w:rPr>
          <w:color w:val="0B2748"/>
          <w:sz w:val="19"/>
          <w:szCs w:val="19"/>
        </w:rPr>
        <w:t xml:space="preserve">Gender norms allow women farmers to participate in farmer field schools and make decisions about household production</w:t>
      </w:r>
    </w:p>
    <w:sectPr>
      <w:footerReference w:type="default" r:id="rId7"/>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pPr>
    <w:r>
      <w:rPr>
        <w:color w:val="1A7A8A"/>
        <w:sz w:val="16"/>
        <w:szCs w:val="16"/>
      </w:rPr>
      <w:t xml:space="preserve">M&amp;E Studio | monitoringevaluationstudio.com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274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Climate-Smart Agriculture Program for Smallholder Farming Households: Logic Model</dc:title>
  <dc:creator>M&amp;E Studio</dc:creator>
  <cp:lastModifiedBy>Un-named</cp:lastModifiedBy>
  <cp:revision>1</cp:revision>
  <dcterms:created xsi:type="dcterms:W3CDTF">2026-10-15T01:24:45.771Z</dcterms:created>
  <dcterms:modified xsi:type="dcterms:W3CDTF">2026-10-15T01:24:45.771Z</dcterms:modified>
</cp:coreProperties>
</file>

<file path=docProps/custom.xml><?xml version="1.0" encoding="utf-8"?>
<Properties xmlns="http://schemas.openxmlformats.org/officeDocument/2006/custom-properties" xmlns:vt="http://schemas.openxmlformats.org/officeDocument/2006/docPropsVTypes"/>
</file>