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0B2748"/>
          <w:sz w:val="36"/>
          <w:szCs w:val="36"/>
        </w:rPr>
        <w:t xml:space="preserve">Foundational Literacy and Numeracy Improvement Program for Early-Grade Learners</w:t>
      </w:r>
    </w:p>
    <w:p>
      <w:pPr>
        <w:spacing w:after="200"/>
      </w:pPr>
      <w:r>
        <w:rPr>
          <w:color w:val="1A7A8A"/>
          <w:sz w:val="20"/>
          <w:szCs w:val="20"/>
        </w:rPr>
        <w:t xml:space="preserve">An M&amp;E Studio Logic Model Pack: Foundational Literacy and Numeracy Improvement Program for Early-Grade Learners (Education, Formal Education Support).</w:t>
      </w:r>
    </w:p>
    <w:p>
      <w:pPr>
        <w:keepNext/>
        <w:spacing w:after="100" w:before="280"/>
      </w:pPr>
      <w:r>
        <w:rPr>
          <w:b/>
          <w:bCs/>
          <w:color w:val="0B2748"/>
          <w:sz w:val="28"/>
          <w:szCs w:val="28"/>
        </w:rPr>
        <w:t xml:space="preserve">Results and Indicators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3%"/>
            <w:shd w:fill="0B2748" w:color="auto" w:val="clear"/>
            <w:tcMar>
              <w:top w:type="dxa" w:w="50"/>
              <w:left w:type="dxa" w:w="80"/>
              <w:bottom w:type="dxa" w:w="50"/>
              <w:right w:type="dxa" w:w="80"/>
            </w:tcMar>
          </w:tcPr>
          <w:p>
            <w:r>
              <w:rPr>
                <w:b/>
                <w:bCs/>
                <w:color w:val="FFFFFF"/>
                <w:sz w:val="19"/>
                <w:szCs w:val="19"/>
              </w:rPr>
              <w:t xml:space="preserve">Level</w:t>
            </w:r>
          </w:p>
        </w:tc>
        <w:tc>
          <w:tcPr>
            <w:tcW w:type="pct" w:w="30%"/>
            <w:shd w:fill="0B2748" w:color="auto" w:val="clear"/>
            <w:tcMar>
              <w:top w:type="dxa" w:w="50"/>
              <w:left w:type="dxa" w:w="80"/>
              <w:bottom w:type="dxa" w:w="50"/>
              <w:right w:type="dxa" w:w="80"/>
            </w:tcMar>
          </w:tcPr>
          <w:p>
            <w:r>
              <w:rPr>
                <w:b/>
                <w:bCs/>
                <w:color w:val="FFFFFF"/>
                <w:sz w:val="19"/>
                <w:szCs w:val="19"/>
              </w:rPr>
              <w:t xml:space="preserve">Result</w:t>
            </w:r>
          </w:p>
        </w:tc>
        <w:tc>
          <w:tcPr>
            <w:tcW w:type="pct" w:w="31%"/>
            <w:shd w:fill="0B2748" w:color="auto" w:val="clear"/>
            <w:tcMar>
              <w:top w:type="dxa" w:w="50"/>
              <w:left w:type="dxa" w:w="80"/>
              <w:bottom w:type="dxa" w:w="50"/>
              <w:right w:type="dxa" w:w="80"/>
            </w:tcMar>
          </w:tcPr>
          <w:p>
            <w:r>
              <w:rPr>
                <w:b/>
                <w:bCs/>
                <w:color w:val="FFFFFF"/>
                <w:sz w:val="19"/>
                <w:szCs w:val="19"/>
              </w:rPr>
              <w:t xml:space="preserve">Indicators</w:t>
            </w:r>
          </w:p>
        </w:tc>
        <w:tc>
          <w:tcPr>
            <w:tcW w:type="pct" w:w="16%"/>
            <w:shd w:fill="0B2748" w:color="auto" w:val="clear"/>
            <w:tcMar>
              <w:top w:type="dxa" w:w="50"/>
              <w:left w:type="dxa" w:w="80"/>
              <w:bottom w:type="dxa" w:w="50"/>
              <w:right w:type="dxa" w:w="80"/>
            </w:tcMar>
          </w:tcPr>
          <w:p>
            <w:r>
              <w:rPr>
                <w:b/>
                <w:bCs/>
                <w:color w:val="FFFFFF"/>
                <w:sz w:val="19"/>
                <w:szCs w:val="19"/>
              </w:rPr>
              <w:t xml:space="preserve">Data source</w:t>
            </w:r>
          </w:p>
        </w:tc>
        <w:tc>
          <w:tcPr>
            <w:tcW w:type="pct" w:w="10%"/>
            <w:shd w:fill="0B2748" w:color="auto" w:val="clear"/>
            <w:tcMar>
              <w:top w:type="dxa" w:w="50"/>
              <w:left w:type="dxa" w:w="80"/>
              <w:bottom w:type="dxa" w:w="50"/>
              <w:right w:type="dxa" w:w="80"/>
            </w:tcMar>
          </w:tcPr>
          <w:p>
            <w:r>
              <w:rPr>
                <w:b/>
                <w:bCs/>
                <w:color w:val="FFFFFF"/>
                <w:sz w:val="19"/>
                <w:szCs w:val="19"/>
              </w:rPr>
              <w:t xml:space="preserve">Frequency</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Impact 1</w:t>
            </w:r>
          </w:p>
        </w:tc>
        <w:tc>
          <w:tcPr>
            <w:tcW w:type="pct" w:w="30%"/>
            <w:tcMar>
              <w:top w:type="dxa" w:w="50"/>
              <w:left w:type="dxa" w:w="80"/>
              <w:bottom w:type="dxa" w:w="50"/>
              <w:right w:type="dxa" w:w="80"/>
            </w:tcMar>
          </w:tcPr>
          <w:p>
            <w:pPr>
              <w:spacing w:after="60"/>
            </w:pPr>
            <w:r>
              <w:rPr>
                <w:color w:val="0B2748"/>
                <w:sz w:val="18"/>
                <w:szCs w:val="18"/>
              </w:rPr>
              <w:t xml:space="preserve">Improved foundational literacy and numeracy outcomes among early-grade learners, contributing to long-term learning trajectories aligned with SDG 4.1</w:t>
            </w:r>
          </w:p>
        </w:tc>
        <w:tc>
          <w:tcPr>
            <w:tcW w:type="pct" w:w="31%"/>
            <w:tcMar>
              <w:top w:type="dxa" w:w="50"/>
              <w:left w:type="dxa" w:w="80"/>
              <w:bottom w:type="dxa" w:w="50"/>
              <w:right w:type="dxa" w:w="80"/>
            </w:tcMar>
          </w:tcPr>
          <w:p>
            <w:pPr>
              <w:spacing w:after="40"/>
            </w:pPr>
            <w:r>
              <w:rPr>
                <w:color w:val="0B2748"/>
                <w:sz w:val="18"/>
                <w:szCs w:val="18"/>
              </w:rPr>
              <w:t xml:space="preserve">Impact 1.1  Proportion of students achieving minimum learning standards in core subjects</w:t>
            </w:r>
          </w:p>
        </w:tc>
        <w:tc>
          <w:tcPr>
            <w:tcW w:type="pct" w:w="16%"/>
            <w:tcMar>
              <w:top w:type="dxa" w:w="50"/>
              <w:left w:type="dxa" w:w="80"/>
              <w:bottom w:type="dxa" w:w="50"/>
              <w:right w:type="dxa" w:w="80"/>
            </w:tcMar>
          </w:tcPr>
          <w:p>
            <w:pPr>
              <w:spacing w:after="40"/>
            </w:pPr>
            <w:r>
              <w:rPr>
                <w:color w:val="0B2748"/>
                <w:sz w:val="18"/>
                <w:szCs w:val="18"/>
              </w:rPr>
              <w:t xml:space="preserve">Standardized assessments administered by trained evaluators during midline or endline evaluations</w:t>
            </w:r>
          </w:p>
        </w:tc>
        <w:tc>
          <w:tcPr>
            <w:tcW w:type="pct" w:w="10%"/>
            <w:tcMar>
              <w:top w:type="dxa" w:w="50"/>
              <w:left w:type="dxa" w:w="80"/>
              <w:bottom w:type="dxa" w:w="50"/>
              <w:right w:type="dxa" w:w="80"/>
            </w:tcMar>
          </w:tcPr>
          <w:p>
            <w:pPr>
              <w:spacing w:after="40"/>
            </w:pPr>
            <w:r>
              <w:rPr>
                <w:color w:val="0B2748"/>
                <w:sz w:val="18"/>
                <w:szCs w:val="18"/>
              </w:rPr>
              <w:t xml:space="preserve">Baseline, endline (suggested)</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Outcome 1</w:t>
            </w:r>
          </w:p>
        </w:tc>
        <w:tc>
          <w:tcPr>
            <w:tcW w:type="pct" w:w="30%"/>
            <w:tcMar>
              <w:top w:type="dxa" w:w="50"/>
              <w:left w:type="dxa" w:w="80"/>
              <w:bottom w:type="dxa" w:w="50"/>
              <w:right w:type="dxa" w:w="80"/>
            </w:tcMar>
          </w:tcPr>
          <w:p>
            <w:pPr>
              <w:spacing w:after="60"/>
            </w:pPr>
            <w:r>
              <w:rPr>
                <w:color w:val="0B2748"/>
                <w:sz w:val="18"/>
                <w:szCs w:val="18"/>
              </w:rPr>
              <w:t xml:space="preserve">Early-grade learners in target schools demonstrate improved reading and numeracy proficiency against grade-level benchmarks</w:t>
            </w:r>
          </w:p>
        </w:tc>
        <w:tc>
          <w:tcPr>
            <w:tcW w:type="pct" w:w="31%"/>
            <w:tcMar>
              <w:top w:type="dxa" w:w="50"/>
              <w:left w:type="dxa" w:w="80"/>
              <w:bottom w:type="dxa" w:w="50"/>
              <w:right w:type="dxa" w:w="80"/>
            </w:tcMar>
          </w:tcPr>
          <w:p>
            <w:pPr>
              <w:spacing w:after="40"/>
            </w:pPr>
            <w:r>
              <w:rPr>
                <w:color w:val="0B2748"/>
                <w:sz w:val="18"/>
                <w:szCs w:val="18"/>
              </w:rPr>
              <w:t xml:space="preserve">Outcome 1.1  Proportion of early-grade learners in target schools meeting grade-level oral reading fluency benchmarks</w:t>
            </w:r>
          </w:p>
          <w:p>
            <w:pPr>
              <w:spacing w:after="40"/>
            </w:pPr>
            <w:r>
              <w:rPr>
                <w:color w:val="0B2748"/>
                <w:sz w:val="18"/>
                <w:szCs w:val="18"/>
              </w:rPr>
              <w:t xml:space="preserve">Outcome 1.2  Proportion of students demonstrating improved problem-solving skills in mathematics</w:t>
            </w:r>
          </w:p>
        </w:tc>
        <w:tc>
          <w:tcPr>
            <w:tcW w:type="pct" w:w="16%"/>
            <w:tcMar>
              <w:top w:type="dxa" w:w="50"/>
              <w:left w:type="dxa" w:w="80"/>
              <w:bottom w:type="dxa" w:w="50"/>
              <w:right w:type="dxa" w:w="80"/>
            </w:tcMar>
          </w:tcPr>
          <w:p>
            <w:pPr>
              <w:spacing w:after="40"/>
            </w:pPr>
            <w:r>
              <w:rPr>
                <w:color w:val="0B2748"/>
                <w:sz w:val="18"/>
                <w:szCs w:val="18"/>
              </w:rPr>
              <w:t xml:space="preserve">Standardized early-grade reading assessment administered by trained enumerators at baseline, midline, and endline</w:t>
            </w:r>
          </w:p>
          <w:p>
            <w:pPr>
              <w:spacing w:after="40"/>
            </w:pPr>
            <w:r>
              <w:rPr>
                <w:color w:val="0B2748"/>
                <w:sz w:val="18"/>
                <w:szCs w:val="18"/>
              </w:rPr>
              <w:t xml:space="preserve">Pre- and post-assessment comparisons using standardized math problem-solving tests administered by trained evaluators</w:t>
            </w:r>
          </w:p>
        </w:tc>
        <w:tc>
          <w:tcPr>
            <w:tcW w:type="pct" w:w="10%"/>
            <w:tcMar>
              <w:top w:type="dxa" w:w="50"/>
              <w:left w:type="dxa" w:w="80"/>
              <w:bottom w:type="dxa" w:w="50"/>
              <w:right w:type="dxa" w:w="80"/>
            </w:tcMar>
          </w:tcPr>
          <w:p>
            <w:pPr>
              <w:spacing w:after="40"/>
            </w:pPr>
            <w:r>
              <w:rPr>
                <w:color w:val="0B2748"/>
                <w:sz w:val="18"/>
                <w:szCs w:val="18"/>
              </w:rPr>
              <w:t xml:space="preserve">Baseline, endline (suggested)</w:t>
            </w:r>
          </w:p>
          <w:p>
            <w:pPr>
              <w:spacing w:after="40"/>
            </w:pPr>
            <w:r>
              <w:rPr>
                <w:color w:val="0B2748"/>
                <w:sz w:val="18"/>
                <w:szCs w:val="18"/>
              </w:rPr>
              <w:t xml:space="preserve">Baseline, endline (suggested)</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Outcome 2</w:t>
            </w:r>
          </w:p>
        </w:tc>
        <w:tc>
          <w:tcPr>
            <w:tcW w:type="pct" w:w="30%"/>
            <w:tcMar>
              <w:top w:type="dxa" w:w="50"/>
              <w:left w:type="dxa" w:w="80"/>
              <w:bottom w:type="dxa" w:w="50"/>
              <w:right w:type="dxa" w:w="80"/>
            </w:tcMar>
          </w:tcPr>
          <w:p>
            <w:pPr>
              <w:spacing w:after="60"/>
            </w:pPr>
            <w:r>
              <w:rPr>
                <w:color w:val="0B2748"/>
                <w:sz w:val="18"/>
                <w:szCs w:val="18"/>
              </w:rPr>
              <w:t xml:space="preserve">Teachers in target schools consistently apply structured pedagogy approaches for foundational literacy and numeracy</w:t>
            </w:r>
          </w:p>
        </w:tc>
        <w:tc>
          <w:tcPr>
            <w:tcW w:type="pct" w:w="31%"/>
            <w:tcMar>
              <w:top w:type="dxa" w:w="50"/>
              <w:left w:type="dxa" w:w="80"/>
              <w:bottom w:type="dxa" w:w="50"/>
              <w:right w:type="dxa" w:w="80"/>
            </w:tcMar>
          </w:tcPr>
          <w:p>
            <w:pPr>
              <w:spacing w:after="40"/>
            </w:pPr>
            <w:r>
              <w:rPr>
                <w:color w:val="0B2748"/>
                <w:sz w:val="18"/>
                <w:szCs w:val="18"/>
              </w:rPr>
              <w:t xml:space="preserve">Outcome 2.1  Proportion of teachers using improved teaching methods in classrooms</w:t>
            </w:r>
          </w:p>
        </w:tc>
        <w:tc>
          <w:tcPr>
            <w:tcW w:type="pct" w:w="16%"/>
            <w:tcMar>
              <w:top w:type="dxa" w:w="50"/>
              <w:left w:type="dxa" w:w="80"/>
              <w:bottom w:type="dxa" w:w="50"/>
              <w:right w:type="dxa" w:w="80"/>
            </w:tcMar>
          </w:tcPr>
          <w:p>
            <w:pPr>
              <w:spacing w:after="40"/>
            </w:pPr>
            <w:r>
              <w:rPr>
                <w:color w:val="0B2748"/>
                <w:sz w:val="18"/>
                <w:szCs w:val="18"/>
              </w:rPr>
              <w:t xml:space="preserve">Classroom observations conducted by independent evaluators using structured checklists</w:t>
            </w:r>
          </w:p>
        </w:tc>
        <w:tc>
          <w:tcPr>
            <w:tcW w:type="pct" w:w="10%"/>
            <w:tcMar>
              <w:top w:type="dxa" w:w="50"/>
              <w:left w:type="dxa" w:w="80"/>
              <w:bottom w:type="dxa" w:w="50"/>
              <w:right w:type="dxa" w:w="80"/>
            </w:tcMar>
          </w:tcPr>
          <w:p>
            <w:pPr>
              <w:spacing w:after="40"/>
            </w:pPr>
            <w:r>
              <w:rPr>
                <w:color w:val="0B2748"/>
                <w:sz w:val="18"/>
                <w:szCs w:val="18"/>
              </w:rPr>
              <w:t xml:space="preserve">Baseline, endline (suggested)</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Outcome 3</w:t>
            </w:r>
          </w:p>
        </w:tc>
        <w:tc>
          <w:tcPr>
            <w:tcW w:type="pct" w:w="30%"/>
            <w:tcMar>
              <w:top w:type="dxa" w:w="50"/>
              <w:left w:type="dxa" w:w="80"/>
              <w:bottom w:type="dxa" w:w="50"/>
              <w:right w:type="dxa" w:w="80"/>
            </w:tcMar>
          </w:tcPr>
          <w:p>
            <w:pPr>
              <w:spacing w:after="60"/>
            </w:pPr>
            <w:r>
              <w:rPr>
                <w:color w:val="0B2748"/>
                <w:sz w:val="18"/>
                <w:szCs w:val="18"/>
              </w:rPr>
              <w:t xml:space="preserve">Schools and education authorities use learning assessment data to identify struggling learners and adjust instruction</w:t>
            </w:r>
          </w:p>
        </w:tc>
        <w:tc>
          <w:tcPr>
            <w:tcW w:type="pct" w:w="31%"/>
            <w:tcMar>
              <w:top w:type="dxa" w:w="50"/>
              <w:left w:type="dxa" w:w="80"/>
              <w:bottom w:type="dxa" w:w="50"/>
              <w:right w:type="dxa" w:w="80"/>
            </w:tcMar>
          </w:tcPr>
          <w:p>
            <w:pPr>
              <w:spacing w:after="40"/>
            </w:pPr>
            <w:r>
              <w:rPr>
                <w:color w:val="0B2748"/>
                <w:sz w:val="18"/>
                <w:szCs w:val="18"/>
              </w:rPr>
              <w:t xml:space="preserve">Outcome 3.1  Proportion of target schools where assessment data was reviewed in a documented data review meeting in the past school term</w:t>
            </w:r>
          </w:p>
        </w:tc>
        <w:tc>
          <w:tcPr>
            <w:tcW w:type="pct" w:w="16%"/>
            <w:tcMar>
              <w:top w:type="dxa" w:w="50"/>
              <w:left w:type="dxa" w:w="80"/>
              <w:bottom w:type="dxa" w:w="50"/>
              <w:right w:type="dxa" w:w="80"/>
            </w:tcMar>
          </w:tcPr>
          <w:p>
            <w:pPr>
              <w:spacing w:after="40"/>
            </w:pPr>
            <w:r>
              <w:rPr>
                <w:color w:val="0B2748"/>
                <w:sz w:val="18"/>
                <w:szCs w:val="18"/>
              </w:rPr>
              <w:t xml:space="preserve">Review of school meeting minutes during school monitoring visits</w:t>
            </w:r>
          </w:p>
        </w:tc>
        <w:tc>
          <w:tcPr>
            <w:tcW w:type="pct" w:w="10%"/>
            <w:tcMar>
              <w:top w:type="dxa" w:w="50"/>
              <w:left w:type="dxa" w:w="80"/>
              <w:bottom w:type="dxa" w:w="50"/>
              <w:right w:type="dxa" w:w="80"/>
            </w:tcMar>
          </w:tcPr>
          <w:p>
            <w:pPr>
              <w:spacing w:after="40"/>
            </w:pPr>
            <w:r>
              <w:rPr>
                <w:color w:val="0B2748"/>
                <w:sz w:val="18"/>
                <w:szCs w:val="18"/>
              </w:rPr>
              <w:t xml:space="preserve">Quarterly (suggested)</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Output 1: Instructional Materials Development</w:t>
            </w:r>
          </w:p>
        </w:tc>
        <w:tc>
          <w:tcPr>
            <w:tcW w:type="pct" w:w="30%"/>
            <w:tcMar>
              <w:top w:type="dxa" w:w="50"/>
              <w:left w:type="dxa" w:w="80"/>
              <w:bottom w:type="dxa" w:w="50"/>
              <w:right w:type="dxa" w:w="80"/>
            </w:tcMar>
          </w:tcPr>
          <w:p>
            <w:pPr>
              <w:spacing w:after="60"/>
            </w:pPr>
            <w:r>
              <w:rPr>
                <w:color w:val="0B2748"/>
                <w:sz w:val="18"/>
                <w:szCs w:val="18"/>
              </w:rPr>
              <w:t xml:space="preserve">Early-grade learners receive structured reading and numeracy instruction with appropriate materials</w:t>
            </w:r>
          </w:p>
        </w:tc>
        <w:tc>
          <w:tcPr>
            <w:tcW w:type="pct" w:w="31%"/>
            <w:tcMar>
              <w:top w:type="dxa" w:w="50"/>
              <w:left w:type="dxa" w:w="80"/>
              <w:bottom w:type="dxa" w:w="50"/>
              <w:right w:type="dxa" w:w="80"/>
            </w:tcMar>
          </w:tcPr>
          <w:p>
            <w:pPr>
              <w:spacing w:after="40"/>
            </w:pPr>
            <w:r>
              <w:rPr>
                <w:color w:val="0B2748"/>
                <w:sz w:val="18"/>
                <w:szCs w:val="18"/>
              </w:rPr>
              <w:t xml:space="preserve">Output 1.1  Number of early-grade learners in target schools receiving structured reading and numeracy instruction during the reporting period</w:t>
            </w:r>
          </w:p>
        </w:tc>
        <w:tc>
          <w:tcPr>
            <w:tcW w:type="pct" w:w="16%"/>
            <w:tcMar>
              <w:top w:type="dxa" w:w="50"/>
              <w:left w:type="dxa" w:w="80"/>
              <w:bottom w:type="dxa" w:w="50"/>
              <w:right w:type="dxa" w:w="80"/>
            </w:tcMar>
          </w:tcPr>
          <w:p>
            <w:pPr>
              <w:spacing w:after="40"/>
            </w:pPr>
            <w:r>
              <w:rPr>
                <w:color w:val="0B2748"/>
                <w:sz w:val="18"/>
                <w:szCs w:val="18"/>
              </w:rPr>
              <w:t xml:space="preserve">Class registers and teacher session logs reviewed monthly at target schools</w:t>
            </w:r>
          </w:p>
        </w:tc>
        <w:tc>
          <w:tcPr>
            <w:tcW w:type="pct" w:w="10%"/>
            <w:tcMar>
              <w:top w:type="dxa" w:w="50"/>
              <w:left w:type="dxa" w:w="80"/>
              <w:bottom w:type="dxa" w:w="50"/>
              <w:right w:type="dxa" w:w="80"/>
            </w:tcMar>
          </w:tcPr>
          <w:p>
            <w:pPr>
              <w:spacing w:after="40"/>
            </w:pPr>
            <w:r>
              <w:rPr>
                <w:color w:val="0B2748"/>
                <w:sz w:val="18"/>
                <w:szCs w:val="18"/>
              </w:rPr>
              <w:t xml:space="preserve">Monthly</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Output 2: Targeted Remedial Instruction</w:t>
            </w:r>
          </w:p>
        </w:tc>
        <w:tc>
          <w:tcPr>
            <w:tcW w:type="pct" w:w="30%"/>
            <w:tcMar>
              <w:top w:type="dxa" w:w="50"/>
              <w:left w:type="dxa" w:w="80"/>
              <w:bottom w:type="dxa" w:w="50"/>
              <w:right w:type="dxa" w:w="80"/>
            </w:tcMar>
          </w:tcPr>
          <w:p>
            <w:pPr>
              <w:spacing w:after="60"/>
            </w:pPr>
            <w:r>
              <w:rPr>
                <w:color w:val="0B2748"/>
                <w:sz w:val="18"/>
                <w:szCs w:val="18"/>
              </w:rPr>
              <w:t xml:space="preserve">Struggling early-grade learners receive targeted remedial support</w:t>
            </w:r>
          </w:p>
        </w:tc>
        <w:tc>
          <w:tcPr>
            <w:tcW w:type="pct" w:w="31%"/>
            <w:tcMar>
              <w:top w:type="dxa" w:w="50"/>
              <w:left w:type="dxa" w:w="80"/>
              <w:bottom w:type="dxa" w:w="50"/>
              <w:right w:type="dxa" w:w="80"/>
            </w:tcMar>
          </w:tcPr>
          <w:p>
            <w:pPr>
              <w:spacing w:after="40"/>
            </w:pPr>
            <w:r>
              <w:rPr>
                <w:color w:val="0B2748"/>
                <w:sz w:val="18"/>
                <w:szCs w:val="18"/>
              </w:rPr>
              <w:t xml:space="preserve">Output 2.1  Number of struggling early-grade learners enrolled in targeted remedial support sessions during the reporting period</w:t>
            </w:r>
          </w:p>
        </w:tc>
        <w:tc>
          <w:tcPr>
            <w:tcW w:type="pct" w:w="16%"/>
            <w:tcMar>
              <w:top w:type="dxa" w:w="50"/>
              <w:left w:type="dxa" w:w="80"/>
              <w:bottom w:type="dxa" w:w="50"/>
              <w:right w:type="dxa" w:w="80"/>
            </w:tcMar>
          </w:tcPr>
          <w:p>
            <w:pPr>
              <w:spacing w:after="40"/>
            </w:pPr>
            <w:r>
              <w:rPr>
                <w:color w:val="0B2748"/>
                <w:sz w:val="18"/>
                <w:szCs w:val="18"/>
              </w:rPr>
              <w:t xml:space="preserve">Remedial session attendance registers cross-checked with diagnostic assessment results</w:t>
            </w:r>
          </w:p>
        </w:tc>
        <w:tc>
          <w:tcPr>
            <w:tcW w:type="pct" w:w="10%"/>
            <w:tcMar>
              <w:top w:type="dxa" w:w="50"/>
              <w:left w:type="dxa" w:w="80"/>
              <w:bottom w:type="dxa" w:w="50"/>
              <w:right w:type="dxa" w:w="80"/>
            </w:tcMar>
          </w:tcPr>
          <w:p>
            <w:pPr>
              <w:spacing w:after="40"/>
            </w:pPr>
            <w:r>
              <w:rPr>
                <w:color w:val="0B2748"/>
                <w:sz w:val="18"/>
                <w:szCs w:val="18"/>
              </w:rPr>
              <w:t xml:space="preserve">Quarterly (suggested)</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Output 3: Teacher Training and Coaching</w:t>
            </w:r>
          </w:p>
        </w:tc>
        <w:tc>
          <w:tcPr>
            <w:tcW w:type="pct" w:w="30%"/>
            <w:tcMar>
              <w:top w:type="dxa" w:w="50"/>
              <w:left w:type="dxa" w:w="80"/>
              <w:bottom w:type="dxa" w:w="50"/>
              <w:right w:type="dxa" w:w="80"/>
            </w:tcMar>
          </w:tcPr>
          <w:p>
            <w:pPr>
              <w:spacing w:after="60"/>
            </w:pPr>
            <w:r>
              <w:rPr>
                <w:color w:val="0B2748"/>
                <w:sz w:val="18"/>
                <w:szCs w:val="18"/>
              </w:rPr>
              <w:t xml:space="preserve">Teachers complete training and ongoing coaching in structured pedagogy and formative assessment</w:t>
            </w:r>
          </w:p>
        </w:tc>
        <w:tc>
          <w:tcPr>
            <w:tcW w:type="pct" w:w="31%"/>
            <w:tcMar>
              <w:top w:type="dxa" w:w="50"/>
              <w:left w:type="dxa" w:w="80"/>
              <w:bottom w:type="dxa" w:w="50"/>
              <w:right w:type="dxa" w:w="80"/>
            </w:tcMar>
          </w:tcPr>
          <w:p>
            <w:pPr>
              <w:spacing w:after="40"/>
            </w:pPr>
            <w:r>
              <w:rPr>
                <w:color w:val="0B2748"/>
                <w:sz w:val="18"/>
                <w:szCs w:val="18"/>
              </w:rPr>
              <w:t xml:space="preserve">Output 3.1  Number of teachers trained in pedagogical practices</w:t>
            </w:r>
          </w:p>
          <w:p>
            <w:pPr>
              <w:spacing w:after="40"/>
            </w:pPr>
            <w:r>
              <w:rPr>
                <w:color w:val="0B2748"/>
                <w:sz w:val="18"/>
                <w:szCs w:val="18"/>
              </w:rPr>
              <w:t xml:space="preserve">Output 3.2  Number of early-grade teachers receiving classroom coaching visits on structured pedagogy in the reporting period</w:t>
            </w:r>
          </w:p>
        </w:tc>
        <w:tc>
          <w:tcPr>
            <w:tcW w:type="pct" w:w="16%"/>
            <w:tcMar>
              <w:top w:type="dxa" w:w="50"/>
              <w:left w:type="dxa" w:w="80"/>
              <w:bottom w:type="dxa" w:w="50"/>
              <w:right w:type="dxa" w:w="80"/>
            </w:tcMar>
          </w:tcPr>
          <w:p>
            <w:pPr>
              <w:spacing w:after="40"/>
            </w:pPr>
            <w:r>
              <w:rPr>
                <w:color w:val="0B2748"/>
                <w:sz w:val="18"/>
                <w:szCs w:val="18"/>
              </w:rPr>
              <w:t xml:space="preserve">Training attendance registers and participant lists collected and verified through program records</w:t>
            </w:r>
          </w:p>
          <w:p>
            <w:pPr>
              <w:spacing w:after="40"/>
            </w:pPr>
            <w:r>
              <w:rPr>
                <w:color w:val="0B2748"/>
                <w:sz w:val="18"/>
                <w:szCs w:val="18"/>
              </w:rPr>
              <w:t xml:space="preserve">Coaching visit logs maintained by coaches and reviewed monthly by the coaching coordinator</w:t>
            </w:r>
          </w:p>
        </w:tc>
        <w:tc>
          <w:tcPr>
            <w:tcW w:type="pct" w:w="10%"/>
            <w:tcMar>
              <w:top w:type="dxa" w:w="50"/>
              <w:left w:type="dxa" w:w="80"/>
              <w:bottom w:type="dxa" w:w="50"/>
              <w:right w:type="dxa" w:w="80"/>
            </w:tcMar>
          </w:tcPr>
          <w:p>
            <w:pPr>
              <w:spacing w:after="40"/>
            </w:pPr>
            <w:r>
              <w:rPr>
                <w:color w:val="0B2748"/>
                <w:sz w:val="18"/>
                <w:szCs w:val="18"/>
              </w:rPr>
              <w:t xml:space="preserve">Quarterly (suggested)</w:t>
            </w:r>
          </w:p>
          <w:p>
            <w:pPr>
              <w:spacing w:after="40"/>
            </w:pPr>
            <w:r>
              <w:rPr>
                <w:color w:val="0B2748"/>
                <w:sz w:val="18"/>
                <w:szCs w:val="18"/>
              </w:rPr>
              <w:t xml:space="preserve">Monthly</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Output 4: Language Instructional Materials</w:t>
            </w:r>
          </w:p>
        </w:tc>
        <w:tc>
          <w:tcPr>
            <w:tcW w:type="pct" w:w="30%"/>
            <w:tcMar>
              <w:top w:type="dxa" w:w="50"/>
              <w:left w:type="dxa" w:w="80"/>
              <w:bottom w:type="dxa" w:w="50"/>
              <w:right w:type="dxa" w:w="80"/>
            </w:tcMar>
          </w:tcPr>
          <w:p>
            <w:pPr>
              <w:spacing w:after="60"/>
            </w:pPr>
            <w:r>
              <w:rPr>
                <w:color w:val="0B2748"/>
                <w:sz w:val="18"/>
                <w:szCs w:val="18"/>
              </w:rPr>
              <w:t xml:space="preserve">Teaching and learning materials in the language of instruction are available and used in classrooms</w:t>
            </w:r>
          </w:p>
        </w:tc>
        <w:tc>
          <w:tcPr>
            <w:tcW w:type="pct" w:w="31%"/>
            <w:tcMar>
              <w:top w:type="dxa" w:w="50"/>
              <w:left w:type="dxa" w:w="80"/>
              <w:bottom w:type="dxa" w:w="50"/>
              <w:right w:type="dxa" w:w="80"/>
            </w:tcMar>
          </w:tcPr>
          <w:p>
            <w:pPr>
              <w:spacing w:after="40"/>
            </w:pPr>
            <w:r>
              <w:rPr>
                <w:color w:val="0B2748"/>
                <w:sz w:val="18"/>
                <w:szCs w:val="18"/>
              </w:rPr>
              <w:t xml:space="preserve">Output 4.1  Number of decodable readers and numeracy materials in the language of instruction distributed to target classrooms</w:t>
            </w:r>
          </w:p>
        </w:tc>
        <w:tc>
          <w:tcPr>
            <w:tcW w:type="pct" w:w="16%"/>
            <w:tcMar>
              <w:top w:type="dxa" w:w="50"/>
              <w:left w:type="dxa" w:w="80"/>
              <w:bottom w:type="dxa" w:w="50"/>
              <w:right w:type="dxa" w:w="80"/>
            </w:tcMar>
          </w:tcPr>
          <w:p>
            <w:pPr>
              <w:spacing w:after="40"/>
            </w:pPr>
            <w:r>
              <w:rPr>
                <w:color w:val="0B2748"/>
                <w:sz w:val="18"/>
                <w:szCs w:val="18"/>
              </w:rPr>
              <w:t xml:space="preserve">Distribution logs and classroom inventory checks during school monitoring visits</w:t>
            </w:r>
          </w:p>
        </w:tc>
        <w:tc>
          <w:tcPr>
            <w:tcW w:type="pct" w:w="10%"/>
            <w:tcMar>
              <w:top w:type="dxa" w:w="50"/>
              <w:left w:type="dxa" w:w="80"/>
              <w:bottom w:type="dxa" w:w="50"/>
              <w:right w:type="dxa" w:w="80"/>
            </w:tcMar>
          </w:tcPr>
          <w:p>
            <w:pPr>
              <w:spacing w:after="40"/>
            </w:pPr>
            <w:r>
              <w:rPr>
                <w:color w:val="0B2748"/>
                <w:sz w:val="18"/>
                <w:szCs w:val="18"/>
              </w:rPr>
              <w:t xml:space="preserve">Quarterly (suggested)</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Output 5: Early Grade Learning Assessments</w:t>
            </w:r>
          </w:p>
        </w:tc>
        <w:tc>
          <w:tcPr>
            <w:tcW w:type="pct" w:w="30%"/>
            <w:tcMar>
              <w:top w:type="dxa" w:w="50"/>
              <w:left w:type="dxa" w:w="80"/>
              <w:bottom w:type="dxa" w:w="50"/>
              <w:right w:type="dxa" w:w="80"/>
            </w:tcMar>
          </w:tcPr>
          <w:p>
            <w:pPr>
              <w:spacing w:after="60"/>
            </w:pPr>
            <w:r>
              <w:rPr>
                <w:color w:val="0B2748"/>
                <w:sz w:val="18"/>
                <w:szCs w:val="18"/>
              </w:rPr>
              <w:t xml:space="preserve">Standardized early-grade learning assessments are administered and results reviewed with schools</w:t>
            </w:r>
          </w:p>
        </w:tc>
        <w:tc>
          <w:tcPr>
            <w:tcW w:type="pct" w:w="31%"/>
            <w:tcMar>
              <w:top w:type="dxa" w:w="50"/>
              <w:left w:type="dxa" w:w="80"/>
              <w:bottom w:type="dxa" w:w="50"/>
              <w:right w:type="dxa" w:w="80"/>
            </w:tcMar>
          </w:tcPr>
          <w:p>
            <w:pPr>
              <w:spacing w:after="40"/>
            </w:pPr>
            <w:r>
              <w:rPr>
                <w:color w:val="0B2748"/>
                <w:sz w:val="18"/>
                <w:szCs w:val="18"/>
              </w:rPr>
              <w:t xml:space="preserve">Output 5.1  Number of standardized early-grade reading and numeracy assessment rounds administered in target schools</w:t>
            </w:r>
          </w:p>
        </w:tc>
        <w:tc>
          <w:tcPr>
            <w:tcW w:type="pct" w:w="16%"/>
            <w:tcMar>
              <w:top w:type="dxa" w:w="50"/>
              <w:left w:type="dxa" w:w="80"/>
              <w:bottom w:type="dxa" w:w="50"/>
              <w:right w:type="dxa" w:w="80"/>
            </w:tcMar>
          </w:tcPr>
          <w:p>
            <w:pPr>
              <w:spacing w:after="40"/>
            </w:pPr>
            <w:r>
              <w:rPr>
                <w:color w:val="0B2748"/>
                <w:sz w:val="18"/>
                <w:szCs w:val="18"/>
              </w:rPr>
              <w:t xml:space="preserve">Assessment administration records and minutes of school-level data review meetings</w:t>
            </w:r>
          </w:p>
        </w:tc>
        <w:tc>
          <w:tcPr>
            <w:tcW w:type="pct" w:w="10%"/>
            <w:tcMar>
              <w:top w:type="dxa" w:w="50"/>
              <w:left w:type="dxa" w:w="80"/>
              <w:bottom w:type="dxa" w:w="50"/>
              <w:right w:type="dxa" w:w="80"/>
            </w:tcMar>
          </w:tcPr>
          <w:p>
            <w:pPr>
              <w:spacing w:after="40"/>
            </w:pPr>
            <w:r>
              <w:rPr>
                <w:color w:val="0B2748"/>
                <w:sz w:val="18"/>
                <w:szCs w:val="18"/>
              </w:rPr>
              <w:t xml:space="preserve">Quarterly (suggested)</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Activity 1</w:t>
            </w:r>
          </w:p>
        </w:tc>
        <w:tc>
          <w:tcPr>
            <w:tcW w:type="pct" w:w="30%"/>
            <w:tcMar>
              <w:top w:type="dxa" w:w="50"/>
              <w:left w:type="dxa" w:w="80"/>
              <w:bottom w:type="dxa" w:w="50"/>
              <w:right w:type="dxa" w:w="80"/>
            </w:tcMar>
          </w:tcPr>
          <w:p>
            <w:pPr>
              <w:spacing w:after="60"/>
            </w:pPr>
            <w:r>
              <w:rPr>
                <w:color w:val="0B2748"/>
                <w:sz w:val="18"/>
                <w:szCs w:val="18"/>
              </w:rPr>
              <w:t xml:space="preserve">Develop or adapt structured lesson plans, decodable readers, and numeracy materials in the language of instruction</w:t>
            </w:r>
          </w:p>
        </w:tc>
        <w:tc>
          <w:tcPr>
            <w:tcW w:type="pct" w:w="31%"/>
            <w:tcMar>
              <w:top w:type="dxa" w:w="50"/>
              <w:left w:type="dxa" w:w="80"/>
              <w:bottom w:type="dxa" w:w="50"/>
              <w:right w:type="dxa" w:w="80"/>
            </w:tcMar>
          </w:tcPr>
          <w:p>
            <w:pPr>
              <w:spacing w:after="60"/>
            </w:pPr>
            <w:r>
              <w:rPr>
                <w:color w:val="0B2748"/>
                <w:sz w:val="18"/>
                <w:szCs w:val="18"/>
              </w:rPr>
              <w:t xml:space="preserve"/>
            </w:r>
          </w:p>
        </w:tc>
        <w:tc>
          <w:tcPr>
            <w:tcW w:type="pct" w:w="16%"/>
            <w:tcMar>
              <w:top w:type="dxa" w:w="50"/>
              <w:left w:type="dxa" w:w="80"/>
              <w:bottom w:type="dxa" w:w="50"/>
              <w:right w:type="dxa" w:w="80"/>
            </w:tcMar>
          </w:tcPr>
          <w:p>
            <w:pPr>
              <w:spacing w:after="60"/>
            </w:pPr>
            <w:r>
              <w:rPr>
                <w:color w:val="0B2748"/>
                <w:sz w:val="18"/>
                <w:szCs w:val="18"/>
              </w:rPr>
              <w:t xml:space="preserve"/>
            </w:r>
          </w:p>
        </w:tc>
        <w:tc>
          <w:tcPr>
            <w:tcW w:type="pct" w:w="10%"/>
            <w:tcMar>
              <w:top w:type="dxa" w:w="50"/>
              <w:left w:type="dxa" w:w="80"/>
              <w:bottom w:type="dxa" w:w="50"/>
              <w:right w:type="dxa" w:w="80"/>
            </w:tcMar>
          </w:tcPr>
          <w:p>
            <w:pPr>
              <w:spacing w:after="60"/>
            </w:pPr>
            <w:r>
              <w:rPr>
                <w:color w:val="0B2748"/>
                <w:sz w:val="18"/>
                <w:szCs w:val="18"/>
              </w:rPr>
              <w:t xml:space="preserve"/>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Activity 2</w:t>
            </w:r>
          </w:p>
        </w:tc>
        <w:tc>
          <w:tcPr>
            <w:tcW w:type="pct" w:w="30%"/>
            <w:tcMar>
              <w:top w:type="dxa" w:w="50"/>
              <w:left w:type="dxa" w:w="80"/>
              <w:bottom w:type="dxa" w:w="50"/>
              <w:right w:type="dxa" w:w="80"/>
            </w:tcMar>
          </w:tcPr>
          <w:p>
            <w:pPr>
              <w:spacing w:after="60"/>
            </w:pPr>
            <w:r>
              <w:rPr>
                <w:color w:val="0B2748"/>
                <w:sz w:val="18"/>
                <w:szCs w:val="18"/>
              </w:rPr>
              <w:t xml:space="preserve">Organize remedial instruction sessions for learners scoring below benchmark on diagnostic assessments</w:t>
            </w:r>
          </w:p>
        </w:tc>
        <w:tc>
          <w:tcPr>
            <w:tcW w:type="pct" w:w="31%"/>
            <w:tcMar>
              <w:top w:type="dxa" w:w="50"/>
              <w:left w:type="dxa" w:w="80"/>
              <w:bottom w:type="dxa" w:w="50"/>
              <w:right w:type="dxa" w:w="80"/>
            </w:tcMar>
          </w:tcPr>
          <w:p>
            <w:pPr>
              <w:spacing w:after="60"/>
            </w:pPr>
            <w:r>
              <w:rPr>
                <w:color w:val="0B2748"/>
                <w:sz w:val="18"/>
                <w:szCs w:val="18"/>
              </w:rPr>
              <w:t xml:space="preserve"/>
            </w:r>
          </w:p>
        </w:tc>
        <w:tc>
          <w:tcPr>
            <w:tcW w:type="pct" w:w="16%"/>
            <w:tcMar>
              <w:top w:type="dxa" w:w="50"/>
              <w:left w:type="dxa" w:w="80"/>
              <w:bottom w:type="dxa" w:w="50"/>
              <w:right w:type="dxa" w:w="80"/>
            </w:tcMar>
          </w:tcPr>
          <w:p>
            <w:pPr>
              <w:spacing w:after="60"/>
            </w:pPr>
            <w:r>
              <w:rPr>
                <w:color w:val="0B2748"/>
                <w:sz w:val="18"/>
                <w:szCs w:val="18"/>
              </w:rPr>
              <w:t xml:space="preserve"/>
            </w:r>
          </w:p>
        </w:tc>
        <w:tc>
          <w:tcPr>
            <w:tcW w:type="pct" w:w="10%"/>
            <w:tcMar>
              <w:top w:type="dxa" w:w="50"/>
              <w:left w:type="dxa" w:w="80"/>
              <w:bottom w:type="dxa" w:w="50"/>
              <w:right w:type="dxa" w:w="80"/>
            </w:tcMar>
          </w:tcPr>
          <w:p>
            <w:pPr>
              <w:spacing w:after="60"/>
            </w:pPr>
            <w:r>
              <w:rPr>
                <w:color w:val="0B2748"/>
                <w:sz w:val="18"/>
                <w:szCs w:val="18"/>
              </w:rPr>
              <w:t xml:space="preserve"/>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Activity 3</w:t>
            </w:r>
          </w:p>
        </w:tc>
        <w:tc>
          <w:tcPr>
            <w:tcW w:type="pct" w:w="30%"/>
            <w:tcMar>
              <w:top w:type="dxa" w:w="50"/>
              <w:left w:type="dxa" w:w="80"/>
              <w:bottom w:type="dxa" w:w="50"/>
              <w:right w:type="dxa" w:w="80"/>
            </w:tcMar>
          </w:tcPr>
          <w:p>
            <w:pPr>
              <w:spacing w:after="60"/>
            </w:pPr>
            <w:r>
              <w:rPr>
                <w:color w:val="0B2748"/>
                <w:sz w:val="18"/>
                <w:szCs w:val="18"/>
              </w:rPr>
              <w:t xml:space="preserve">Deliver teacher training and continuous classroom coaching in structured pedagogy and formative assessment techniques</w:t>
            </w:r>
          </w:p>
        </w:tc>
        <w:tc>
          <w:tcPr>
            <w:tcW w:type="pct" w:w="31%"/>
            <w:tcMar>
              <w:top w:type="dxa" w:w="50"/>
              <w:left w:type="dxa" w:w="80"/>
              <w:bottom w:type="dxa" w:w="50"/>
              <w:right w:type="dxa" w:w="80"/>
            </w:tcMar>
          </w:tcPr>
          <w:p>
            <w:pPr>
              <w:spacing w:after="40"/>
            </w:pPr>
            <w:r>
              <w:rPr>
                <w:color w:val="0B2748"/>
                <w:sz w:val="18"/>
                <w:szCs w:val="18"/>
              </w:rPr>
              <w:t xml:space="preserve">Activity 3.1  Number of coaching cycles completed by classroom coaches in target schools during the reporting period</w:t>
            </w:r>
          </w:p>
        </w:tc>
        <w:tc>
          <w:tcPr>
            <w:tcW w:type="pct" w:w="16%"/>
            <w:tcMar>
              <w:top w:type="dxa" w:w="50"/>
              <w:left w:type="dxa" w:w="80"/>
              <w:bottom w:type="dxa" w:w="50"/>
              <w:right w:type="dxa" w:w="80"/>
            </w:tcMar>
          </w:tcPr>
          <w:p>
            <w:pPr>
              <w:spacing w:after="40"/>
            </w:pPr>
            <w:r>
              <w:rPr>
                <w:color w:val="0B2748"/>
                <w:sz w:val="18"/>
                <w:szCs w:val="18"/>
              </w:rPr>
              <w:t xml:space="preserve">Coaching cycle logs maintained by coaches and aggregated monthly by the coaching coordinator</w:t>
            </w:r>
          </w:p>
        </w:tc>
        <w:tc>
          <w:tcPr>
            <w:tcW w:type="pct" w:w="10%"/>
            <w:tcMar>
              <w:top w:type="dxa" w:w="50"/>
              <w:left w:type="dxa" w:w="80"/>
              <w:bottom w:type="dxa" w:w="50"/>
              <w:right w:type="dxa" w:w="80"/>
            </w:tcMar>
          </w:tcPr>
          <w:p>
            <w:pPr>
              <w:spacing w:after="40"/>
            </w:pPr>
            <w:r>
              <w:rPr>
                <w:color w:val="0B2748"/>
                <w:sz w:val="18"/>
                <w:szCs w:val="18"/>
              </w:rPr>
              <w:t xml:space="preserve">Monthly</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Activity 4</w:t>
            </w:r>
          </w:p>
        </w:tc>
        <w:tc>
          <w:tcPr>
            <w:tcW w:type="pct" w:w="30%"/>
            <w:tcMar>
              <w:top w:type="dxa" w:w="50"/>
              <w:left w:type="dxa" w:w="80"/>
              <w:bottom w:type="dxa" w:w="50"/>
              <w:right w:type="dxa" w:w="80"/>
            </w:tcMar>
          </w:tcPr>
          <w:p>
            <w:pPr>
              <w:spacing w:after="60"/>
            </w:pPr>
            <w:r>
              <w:rPr>
                <w:color w:val="0B2748"/>
                <w:sz w:val="18"/>
                <w:szCs w:val="18"/>
              </w:rPr>
              <w:t xml:space="preserve">Provide teachers with structured lesson plans, decodable readers, and numeracy materials in the language of instruction</w:t>
            </w:r>
          </w:p>
        </w:tc>
        <w:tc>
          <w:tcPr>
            <w:tcW w:type="pct" w:w="31%"/>
            <w:tcMar>
              <w:top w:type="dxa" w:w="50"/>
              <w:left w:type="dxa" w:w="80"/>
              <w:bottom w:type="dxa" w:w="50"/>
              <w:right w:type="dxa" w:w="80"/>
            </w:tcMar>
          </w:tcPr>
          <w:p>
            <w:pPr>
              <w:spacing w:after="60"/>
            </w:pPr>
            <w:r>
              <w:rPr>
                <w:color w:val="0B2748"/>
                <w:sz w:val="18"/>
                <w:szCs w:val="18"/>
              </w:rPr>
              <w:t xml:space="preserve"/>
            </w:r>
          </w:p>
        </w:tc>
        <w:tc>
          <w:tcPr>
            <w:tcW w:type="pct" w:w="16%"/>
            <w:tcMar>
              <w:top w:type="dxa" w:w="50"/>
              <w:left w:type="dxa" w:w="80"/>
              <w:bottom w:type="dxa" w:w="50"/>
              <w:right w:type="dxa" w:w="80"/>
            </w:tcMar>
          </w:tcPr>
          <w:p>
            <w:pPr>
              <w:spacing w:after="60"/>
            </w:pPr>
            <w:r>
              <w:rPr>
                <w:color w:val="0B2748"/>
                <w:sz w:val="18"/>
                <w:szCs w:val="18"/>
              </w:rPr>
              <w:t xml:space="preserve"/>
            </w:r>
          </w:p>
        </w:tc>
        <w:tc>
          <w:tcPr>
            <w:tcW w:type="pct" w:w="10%"/>
            <w:tcMar>
              <w:top w:type="dxa" w:w="50"/>
              <w:left w:type="dxa" w:w="80"/>
              <w:bottom w:type="dxa" w:w="50"/>
              <w:right w:type="dxa" w:w="80"/>
            </w:tcMar>
          </w:tcPr>
          <w:p>
            <w:pPr>
              <w:spacing w:after="60"/>
            </w:pPr>
            <w:r>
              <w:rPr>
                <w:color w:val="0B2748"/>
                <w:sz w:val="18"/>
                <w:szCs w:val="18"/>
              </w:rPr>
              <w:t xml:space="preserve"/>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Activity 5</w:t>
            </w:r>
          </w:p>
        </w:tc>
        <w:tc>
          <w:tcPr>
            <w:tcW w:type="pct" w:w="30%"/>
            <w:tcMar>
              <w:top w:type="dxa" w:w="50"/>
              <w:left w:type="dxa" w:w="80"/>
              <w:bottom w:type="dxa" w:w="50"/>
              <w:right w:type="dxa" w:w="80"/>
            </w:tcMar>
          </w:tcPr>
          <w:p>
            <w:pPr>
              <w:spacing w:after="60"/>
            </w:pPr>
            <w:r>
              <w:rPr>
                <w:color w:val="0B2748"/>
                <w:sz w:val="18"/>
                <w:szCs w:val="18"/>
              </w:rPr>
              <w:t xml:space="preserve">Administer early-grade reading and numeracy assessments and facilitate school-level data review meetings</w:t>
            </w:r>
          </w:p>
        </w:tc>
        <w:tc>
          <w:tcPr>
            <w:tcW w:type="pct" w:w="31%"/>
            <w:tcMar>
              <w:top w:type="dxa" w:w="50"/>
              <w:left w:type="dxa" w:w="80"/>
              <w:bottom w:type="dxa" w:w="50"/>
              <w:right w:type="dxa" w:w="80"/>
            </w:tcMar>
          </w:tcPr>
          <w:p>
            <w:pPr>
              <w:spacing w:after="60"/>
            </w:pPr>
            <w:r>
              <w:rPr>
                <w:color w:val="0B2748"/>
                <w:sz w:val="18"/>
                <w:szCs w:val="18"/>
              </w:rPr>
              <w:t xml:space="preserve"/>
            </w:r>
          </w:p>
        </w:tc>
        <w:tc>
          <w:tcPr>
            <w:tcW w:type="pct" w:w="16%"/>
            <w:tcMar>
              <w:top w:type="dxa" w:w="50"/>
              <w:left w:type="dxa" w:w="80"/>
              <w:bottom w:type="dxa" w:w="50"/>
              <w:right w:type="dxa" w:w="80"/>
            </w:tcMar>
          </w:tcPr>
          <w:p>
            <w:pPr>
              <w:spacing w:after="60"/>
            </w:pPr>
            <w:r>
              <w:rPr>
                <w:color w:val="0B2748"/>
                <w:sz w:val="18"/>
                <w:szCs w:val="18"/>
              </w:rPr>
              <w:t xml:space="preserve"/>
            </w:r>
          </w:p>
        </w:tc>
        <w:tc>
          <w:tcPr>
            <w:tcW w:type="pct" w:w="10%"/>
            <w:tcMar>
              <w:top w:type="dxa" w:w="50"/>
              <w:left w:type="dxa" w:w="80"/>
              <w:bottom w:type="dxa" w:w="50"/>
              <w:right w:type="dxa" w:w="80"/>
            </w:tcMar>
          </w:tcPr>
          <w:p>
            <w:pPr>
              <w:spacing w:after="60"/>
            </w:pPr>
            <w:r>
              <w:rPr>
                <w:color w:val="0B2748"/>
                <w:sz w:val="18"/>
                <w:szCs w:val="18"/>
              </w:rPr>
              <w:t xml:space="preserve"/>
            </w:r>
          </w:p>
        </w:tc>
      </w:tr>
    </w:tbl>
    <w:p>
      <w:pPr>
        <w:keepNext/>
        <w:spacing w:after="100" w:before="280"/>
      </w:pPr>
      <w:r>
        <w:rPr>
          <w:b/>
          <w:bCs/>
          <w:color w:val="0B2748"/>
          <w:sz w:val="28"/>
          <w:szCs w:val="28"/>
        </w:rPr>
        <w:t xml:space="preserve">Indicator Details</w:t>
      </w:r>
    </w:p>
    <w:p>
      <w:pPr>
        <w:keepNext/>
        <w:spacing w:after="40" w:before="160"/>
      </w:pPr>
      <w:r>
        <w:rPr>
          <w:b/>
          <w:bCs/>
          <w:color w:val="0B2748"/>
          <w:sz w:val="20"/>
          <w:szCs w:val="20"/>
        </w:rPr>
        <w:t xml:space="preserve">Impact 1.1  Proportion of students achieving minimum learning standards in core subjects</w:t>
      </w:r>
    </w:p>
    <w:p>
      <w:pPr>
        <w:spacing w:after="30"/>
      </w:pPr>
      <w:r>
        <w:rPr>
          <w:b/>
          <w:bCs/>
          <w:color w:val="0B2748"/>
          <w:sz w:val="19"/>
          <w:szCs w:val="19"/>
        </w:rPr>
        <w:t xml:space="preserve">Definition: </w:t>
      </w:r>
      <w:r>
        <w:rPr>
          <w:color w:val="0B2748"/>
          <w:sz w:val="19"/>
          <w:szCs w:val="19"/>
        </w:rPr>
        <w:t xml:space="preserve">The percentage of students who meet or exceed predefined minimum competency thresholds in core subjects (e.g., literacy, numeracy) as assessed by standardized tests. The numerator includes students meeting the threshold, while the denominator represents all students tested.</w:t>
      </w:r>
    </w:p>
    <w:p>
      <w:pPr>
        <w:spacing w:after="30"/>
      </w:pPr>
      <w:r>
        <w:rPr>
          <w:b/>
          <w:bCs/>
          <w:color w:val="0B2748"/>
          <w:sz w:val="19"/>
          <w:szCs w:val="19"/>
        </w:rPr>
        <w:t xml:space="preserve">Disaggregation: </w:t>
      </w:r>
      <w:r>
        <w:rPr>
          <w:color w:val="0B2748"/>
          <w:sz w:val="19"/>
          <w:szCs w:val="19"/>
        </w:rPr>
        <w:t xml:space="preserve">sex, age group, grade level, disability status, language of instruction, location</w:t>
      </w:r>
    </w:p>
    <w:p>
      <w:pPr>
        <w:spacing w:after="30"/>
      </w:pPr>
      <w:r>
        <w:rPr>
          <w:b/>
          <w:bCs/>
          <w:color w:val="0B2748"/>
          <w:sz w:val="19"/>
          <w:szCs w:val="19"/>
        </w:rPr>
        <w:t xml:space="preserve">Data source: </w:t>
      </w:r>
      <w:r>
        <w:rPr>
          <w:color w:val="0B2748"/>
          <w:sz w:val="19"/>
          <w:szCs w:val="19"/>
        </w:rPr>
        <w:t xml:space="preserve">Standardized assessments administered by trained evaluators during midline or endline evaluations</w:t>
      </w:r>
    </w:p>
    <w:p>
      <w:pPr>
        <w:spacing w:after="30"/>
      </w:pPr>
      <w:r>
        <w:rPr>
          <w:b/>
          <w:bCs/>
          <w:color w:val="0B2748"/>
          <w:sz w:val="19"/>
          <w:szCs w:val="19"/>
        </w:rPr>
        <w:t xml:space="preserve">Frequency: </w:t>
      </w:r>
      <w:r>
        <w:rPr>
          <w:color w:val="0B2748"/>
          <w:sz w:val="19"/>
          <w:szCs w:val="19"/>
        </w:rPr>
        <w:t xml:space="preserve">Baseline, endline (suggested)</w:t>
      </w:r>
    </w:p>
    <w:p>
      <w:pPr>
        <w:keepNext/>
        <w:spacing w:after="40" w:before="160"/>
      </w:pPr>
      <w:r>
        <w:rPr>
          <w:b/>
          <w:bCs/>
          <w:color w:val="0B2748"/>
          <w:sz w:val="20"/>
          <w:szCs w:val="20"/>
        </w:rPr>
        <w:t xml:space="preserve">Outcome 1.1  Proportion of early-grade learners in target schools meeting grade-level oral reading fluency benchmarks</w:t>
      </w:r>
    </w:p>
    <w:p>
      <w:pPr>
        <w:spacing w:after="30"/>
      </w:pPr>
      <w:r>
        <w:rPr>
          <w:b/>
          <w:bCs/>
          <w:color w:val="0B2748"/>
          <w:sz w:val="19"/>
          <w:szCs w:val="19"/>
        </w:rPr>
        <w:t xml:space="preserve">Definition: </w:t>
      </w:r>
      <w:r>
        <w:rPr>
          <w:color w:val="0B2748"/>
          <w:sz w:val="19"/>
          <w:szCs w:val="19"/>
        </w:rPr>
        <w:t xml:space="preserve">Among early-grade learners assessed in target schools, the share who meet or exceed the grade-level benchmark for oral reading fluency (correct words per minute) using a standardized early-grade reading assessment. Numerator: learners meeting benchmark. Denominator: all learners assessed.</w:t>
      </w:r>
    </w:p>
    <w:p>
      <w:pPr>
        <w:spacing w:after="30"/>
      </w:pPr>
      <w:r>
        <w:rPr>
          <w:b/>
          <w:bCs/>
          <w:color w:val="0B2748"/>
          <w:sz w:val="19"/>
          <w:szCs w:val="19"/>
        </w:rPr>
        <w:t xml:space="preserve">Disaggregation: </w:t>
      </w:r>
      <w:r>
        <w:rPr>
          <w:color w:val="0B2748"/>
          <w:sz w:val="19"/>
          <w:szCs w:val="19"/>
        </w:rPr>
        <w:t xml:space="preserve">sex, age group, grade level, disability status, language of instruction, location</w:t>
      </w:r>
    </w:p>
    <w:p>
      <w:pPr>
        <w:spacing w:after="30"/>
      </w:pPr>
      <w:r>
        <w:rPr>
          <w:b/>
          <w:bCs/>
          <w:color w:val="0B2748"/>
          <w:sz w:val="19"/>
          <w:szCs w:val="19"/>
        </w:rPr>
        <w:t xml:space="preserve">Data source: </w:t>
      </w:r>
      <w:r>
        <w:rPr>
          <w:color w:val="0B2748"/>
          <w:sz w:val="19"/>
          <w:szCs w:val="19"/>
        </w:rPr>
        <w:t xml:space="preserve">Standardized early-grade reading assessment administered by trained enumerators at baseline, midline, and endline</w:t>
      </w:r>
    </w:p>
    <w:p>
      <w:pPr>
        <w:spacing w:after="30"/>
      </w:pPr>
      <w:r>
        <w:rPr>
          <w:b/>
          <w:bCs/>
          <w:color w:val="0B2748"/>
          <w:sz w:val="19"/>
          <w:szCs w:val="19"/>
        </w:rPr>
        <w:t xml:space="preserve">Frequency: </w:t>
      </w:r>
      <w:r>
        <w:rPr>
          <w:color w:val="0B2748"/>
          <w:sz w:val="19"/>
          <w:szCs w:val="19"/>
        </w:rPr>
        <w:t xml:space="preserve">Baseline, endline (suggested)</w:t>
      </w:r>
    </w:p>
    <w:p>
      <w:pPr>
        <w:keepNext/>
        <w:spacing w:after="40" w:before="160"/>
      </w:pPr>
      <w:r>
        <w:rPr>
          <w:b/>
          <w:bCs/>
          <w:color w:val="0B2748"/>
          <w:sz w:val="20"/>
          <w:szCs w:val="20"/>
        </w:rPr>
        <w:t xml:space="preserve">Outcome 1.2  Proportion of students demonstrating improved problem-solving skills in mathematics</w:t>
      </w:r>
    </w:p>
    <w:p>
      <w:pPr>
        <w:spacing w:after="30"/>
      </w:pPr>
      <w:r>
        <w:rPr>
          <w:b/>
          <w:bCs/>
          <w:color w:val="0B2748"/>
          <w:sz w:val="19"/>
          <w:szCs w:val="19"/>
        </w:rPr>
        <w:t xml:space="preserve">Definition: </w:t>
      </w:r>
      <w:r>
        <w:rPr>
          <w:color w:val="0B2748"/>
          <w:sz w:val="19"/>
          <w:szCs w:val="19"/>
        </w:rPr>
        <w:t xml:space="preserve">The percentage of students who show measurable improvement in problem-solving abilities in mathematics, as assessed by pre- and post-intervention tests. The numerator includes students showing improvement, while the denominator represents all students tested.</w:t>
      </w:r>
    </w:p>
    <w:p>
      <w:pPr>
        <w:spacing w:after="30"/>
      </w:pPr>
      <w:r>
        <w:rPr>
          <w:b/>
          <w:bCs/>
          <w:color w:val="0B2748"/>
          <w:sz w:val="19"/>
          <w:szCs w:val="19"/>
        </w:rPr>
        <w:t xml:space="preserve">Disaggregation: </w:t>
      </w:r>
      <w:r>
        <w:rPr>
          <w:color w:val="0B2748"/>
          <w:sz w:val="19"/>
          <w:szCs w:val="19"/>
        </w:rPr>
        <w:t xml:space="preserve">sex, age group, grade level, disability status, language of instruction, location</w:t>
      </w:r>
    </w:p>
    <w:p>
      <w:pPr>
        <w:spacing w:after="30"/>
      </w:pPr>
      <w:r>
        <w:rPr>
          <w:b/>
          <w:bCs/>
          <w:color w:val="0B2748"/>
          <w:sz w:val="19"/>
          <w:szCs w:val="19"/>
        </w:rPr>
        <w:t xml:space="preserve">Data source: </w:t>
      </w:r>
      <w:r>
        <w:rPr>
          <w:color w:val="0B2748"/>
          <w:sz w:val="19"/>
          <w:szCs w:val="19"/>
        </w:rPr>
        <w:t xml:space="preserve">Pre- and post-assessment comparisons using standardized math problem-solving tests administered by trained evaluators</w:t>
      </w:r>
    </w:p>
    <w:p>
      <w:pPr>
        <w:spacing w:after="30"/>
      </w:pPr>
      <w:r>
        <w:rPr>
          <w:b/>
          <w:bCs/>
          <w:color w:val="0B2748"/>
          <w:sz w:val="19"/>
          <w:szCs w:val="19"/>
        </w:rPr>
        <w:t xml:space="preserve">Frequency: </w:t>
      </w:r>
      <w:r>
        <w:rPr>
          <w:color w:val="0B2748"/>
          <w:sz w:val="19"/>
          <w:szCs w:val="19"/>
        </w:rPr>
        <w:t xml:space="preserve">Baseline, endline (suggested)</w:t>
      </w:r>
    </w:p>
    <w:p>
      <w:pPr>
        <w:keepNext/>
        <w:spacing w:after="40" w:before="160"/>
      </w:pPr>
      <w:r>
        <w:rPr>
          <w:b/>
          <w:bCs/>
          <w:color w:val="0B2748"/>
          <w:sz w:val="20"/>
          <w:szCs w:val="20"/>
        </w:rPr>
        <w:t xml:space="preserve">Outcome 2.1  Proportion of teachers using improved teaching methods in classrooms</w:t>
      </w:r>
    </w:p>
    <w:p>
      <w:pPr>
        <w:spacing w:after="30"/>
      </w:pPr>
      <w:r>
        <w:rPr>
          <w:b/>
          <w:bCs/>
          <w:color w:val="0B2748"/>
          <w:sz w:val="19"/>
          <w:szCs w:val="19"/>
        </w:rPr>
        <w:t xml:space="preserve">Definition: </w:t>
      </w:r>
      <w:r>
        <w:rPr>
          <w:color w:val="0B2748"/>
          <w:sz w:val="19"/>
          <w:szCs w:val="19"/>
        </w:rPr>
        <w:t xml:space="preserve">The percentage of teachers who incorporate evidence-based pedagogical practices (e.g., active learning, differentiated instruction) into their teaching, as observed during classroom visits. The numerator includes teachers using these methods, while the denominator represents all teachers observed.</w:t>
      </w:r>
    </w:p>
    <w:p>
      <w:pPr>
        <w:spacing w:after="30"/>
      </w:pPr>
      <w:r>
        <w:rPr>
          <w:b/>
          <w:bCs/>
          <w:color w:val="0B2748"/>
          <w:sz w:val="19"/>
          <w:szCs w:val="19"/>
        </w:rPr>
        <w:t xml:space="preserve">Disaggregation: </w:t>
      </w:r>
      <w:r>
        <w:rPr>
          <w:color w:val="0B2748"/>
          <w:sz w:val="19"/>
          <w:szCs w:val="19"/>
        </w:rPr>
        <w:t xml:space="preserve">sex, age group, grade level, disability status, language of instruction, location</w:t>
      </w:r>
    </w:p>
    <w:p>
      <w:pPr>
        <w:spacing w:after="30"/>
      </w:pPr>
      <w:r>
        <w:rPr>
          <w:b/>
          <w:bCs/>
          <w:color w:val="0B2748"/>
          <w:sz w:val="19"/>
          <w:szCs w:val="19"/>
        </w:rPr>
        <w:t xml:space="preserve">Data source: </w:t>
      </w:r>
      <w:r>
        <w:rPr>
          <w:color w:val="0B2748"/>
          <w:sz w:val="19"/>
          <w:szCs w:val="19"/>
        </w:rPr>
        <w:t xml:space="preserve">Classroom observations conducted by independent evaluators using structured checklists</w:t>
      </w:r>
    </w:p>
    <w:p>
      <w:pPr>
        <w:spacing w:after="30"/>
      </w:pPr>
      <w:r>
        <w:rPr>
          <w:b/>
          <w:bCs/>
          <w:color w:val="0B2748"/>
          <w:sz w:val="19"/>
          <w:szCs w:val="19"/>
        </w:rPr>
        <w:t xml:space="preserve">Frequency: </w:t>
      </w:r>
      <w:r>
        <w:rPr>
          <w:color w:val="0B2748"/>
          <w:sz w:val="19"/>
          <w:szCs w:val="19"/>
        </w:rPr>
        <w:t xml:space="preserve">Baseline, endline (suggested)</w:t>
      </w:r>
    </w:p>
    <w:p>
      <w:pPr>
        <w:keepNext/>
        <w:spacing w:after="40" w:before="160"/>
      </w:pPr>
      <w:r>
        <w:rPr>
          <w:b/>
          <w:bCs/>
          <w:color w:val="0B2748"/>
          <w:sz w:val="20"/>
          <w:szCs w:val="20"/>
        </w:rPr>
        <w:t xml:space="preserve">Outcome 3.1  Proportion of target schools where assessment data was reviewed in a documented data review meeting in the past school term</w:t>
      </w:r>
    </w:p>
    <w:p>
      <w:pPr>
        <w:spacing w:after="30"/>
      </w:pPr>
      <w:r>
        <w:rPr>
          <w:b/>
          <w:bCs/>
          <w:color w:val="0B2748"/>
          <w:sz w:val="19"/>
          <w:szCs w:val="19"/>
        </w:rPr>
        <w:t xml:space="preserve">Definition: </w:t>
      </w:r>
      <w:r>
        <w:rPr>
          <w:color w:val="0B2748"/>
          <w:sz w:val="19"/>
          <w:szCs w:val="19"/>
        </w:rPr>
        <w:t xml:space="preserve">Schools where school staff held at least one documented assessment data review meeting (with minutes and follow-up actions recorded) in the past term. Numerator: schools meeting criteria. Denominator: all target schools.</w:t>
      </w:r>
    </w:p>
    <w:p>
      <w:pPr>
        <w:spacing w:after="30"/>
      </w:pPr>
      <w:r>
        <w:rPr>
          <w:b/>
          <w:bCs/>
          <w:color w:val="0B2748"/>
          <w:sz w:val="19"/>
          <w:szCs w:val="19"/>
        </w:rPr>
        <w:t xml:space="preserve">Disaggregation: </w:t>
      </w:r>
      <w:r>
        <w:rPr>
          <w:color w:val="0B2748"/>
          <w:sz w:val="19"/>
          <w:szCs w:val="19"/>
        </w:rPr>
        <w:t xml:space="preserve">None; reported as a total</w:t>
      </w:r>
    </w:p>
    <w:p>
      <w:pPr>
        <w:spacing w:after="30"/>
      </w:pPr>
      <w:r>
        <w:rPr>
          <w:b/>
          <w:bCs/>
          <w:color w:val="0B2748"/>
          <w:sz w:val="19"/>
          <w:szCs w:val="19"/>
        </w:rPr>
        <w:t xml:space="preserve">Data source: </w:t>
      </w:r>
      <w:r>
        <w:rPr>
          <w:color w:val="0B2748"/>
          <w:sz w:val="19"/>
          <w:szCs w:val="19"/>
        </w:rPr>
        <w:t xml:space="preserve">Review of school meeting minutes during school monitoring visits</w:t>
      </w:r>
    </w:p>
    <w:p>
      <w:pPr>
        <w:spacing w:after="30"/>
      </w:pPr>
      <w:r>
        <w:rPr>
          <w:b/>
          <w:bCs/>
          <w:color w:val="0B2748"/>
          <w:sz w:val="19"/>
          <w:szCs w:val="19"/>
        </w:rPr>
        <w:t xml:space="preserve">Frequency: </w:t>
      </w:r>
      <w:r>
        <w:rPr>
          <w:color w:val="0B2748"/>
          <w:sz w:val="19"/>
          <w:szCs w:val="19"/>
        </w:rPr>
        <w:t xml:space="preserve">Quarterly (suggested)</w:t>
      </w:r>
    </w:p>
    <w:p>
      <w:pPr>
        <w:keepNext/>
        <w:spacing w:after="40" w:before="160"/>
      </w:pPr>
      <w:r>
        <w:rPr>
          <w:b/>
          <w:bCs/>
          <w:color w:val="0B2748"/>
          <w:sz w:val="20"/>
          <w:szCs w:val="20"/>
        </w:rPr>
        <w:t xml:space="preserve">Output 1.1  Number of early-grade learners in target schools receiving structured reading and numeracy instruction during the reporting period</w:t>
      </w:r>
    </w:p>
    <w:p>
      <w:pPr>
        <w:spacing w:after="30"/>
      </w:pPr>
      <w:r>
        <w:rPr>
          <w:b/>
          <w:bCs/>
          <w:color w:val="0B2748"/>
          <w:sz w:val="19"/>
          <w:szCs w:val="19"/>
        </w:rPr>
        <w:t xml:space="preserve">Definition: </w:t>
      </w:r>
      <w:r>
        <w:rPr>
          <w:color w:val="0B2748"/>
          <w:sz w:val="19"/>
          <w:szCs w:val="19"/>
        </w:rPr>
        <w:t xml:space="preserve">Unique early-grade learners (typically grades 1 to 3) enrolled in target schools who received structured reading and numeracy lessons aligned with the program curriculum during the reporting period.</w:t>
      </w:r>
    </w:p>
    <w:p>
      <w:pPr>
        <w:spacing w:after="30"/>
      </w:pPr>
      <w:r>
        <w:rPr>
          <w:b/>
          <w:bCs/>
          <w:color w:val="0B2748"/>
          <w:sz w:val="19"/>
          <w:szCs w:val="19"/>
        </w:rPr>
        <w:t xml:space="preserve">Disaggregation: </w:t>
      </w:r>
      <w:r>
        <w:rPr>
          <w:color w:val="0B2748"/>
          <w:sz w:val="19"/>
          <w:szCs w:val="19"/>
        </w:rPr>
        <w:t xml:space="preserve">sex, age group, grade level, disability status, language of instruction, location</w:t>
      </w:r>
    </w:p>
    <w:p>
      <w:pPr>
        <w:spacing w:after="30"/>
      </w:pPr>
      <w:r>
        <w:rPr>
          <w:b/>
          <w:bCs/>
          <w:color w:val="0B2748"/>
          <w:sz w:val="19"/>
          <w:szCs w:val="19"/>
        </w:rPr>
        <w:t xml:space="preserve">Data source: </w:t>
      </w:r>
      <w:r>
        <w:rPr>
          <w:color w:val="0B2748"/>
          <w:sz w:val="19"/>
          <w:szCs w:val="19"/>
        </w:rPr>
        <w:t xml:space="preserve">Class registers and teacher session logs reviewed monthly at target schools</w:t>
      </w:r>
    </w:p>
    <w:p>
      <w:pPr>
        <w:spacing w:after="30"/>
      </w:pPr>
      <w:r>
        <w:rPr>
          <w:b/>
          <w:bCs/>
          <w:color w:val="0B2748"/>
          <w:sz w:val="19"/>
          <w:szCs w:val="19"/>
        </w:rPr>
        <w:t xml:space="preserve">Frequency: </w:t>
      </w:r>
      <w:r>
        <w:rPr>
          <w:color w:val="0B2748"/>
          <w:sz w:val="19"/>
          <w:szCs w:val="19"/>
        </w:rPr>
        <w:t xml:space="preserve">Monthly</w:t>
      </w:r>
    </w:p>
    <w:p>
      <w:pPr>
        <w:keepNext/>
        <w:spacing w:after="40" w:before="160"/>
      </w:pPr>
      <w:r>
        <w:rPr>
          <w:b/>
          <w:bCs/>
          <w:color w:val="0B2748"/>
          <w:sz w:val="20"/>
          <w:szCs w:val="20"/>
        </w:rPr>
        <w:t xml:space="preserve">Output 2.1  Number of struggling early-grade learners enrolled in targeted remedial support sessions during the reporting period</w:t>
      </w:r>
    </w:p>
    <w:p>
      <w:pPr>
        <w:spacing w:after="30"/>
      </w:pPr>
      <w:r>
        <w:rPr>
          <w:b/>
          <w:bCs/>
          <w:color w:val="0B2748"/>
          <w:sz w:val="19"/>
          <w:szCs w:val="19"/>
        </w:rPr>
        <w:t xml:space="preserve">Definition: </w:t>
      </w:r>
      <w:r>
        <w:rPr>
          <w:color w:val="0B2748"/>
          <w:sz w:val="19"/>
          <w:szCs w:val="19"/>
        </w:rPr>
        <w:t xml:space="preserve">Unique early-grade learners scoring below the diagnostic benchmark who were enrolled in and attended at least one program-organized remedial session during the reporting period.</w:t>
      </w:r>
    </w:p>
    <w:p>
      <w:pPr>
        <w:spacing w:after="30"/>
      </w:pPr>
      <w:r>
        <w:rPr>
          <w:b/>
          <w:bCs/>
          <w:color w:val="0B2748"/>
          <w:sz w:val="19"/>
          <w:szCs w:val="19"/>
        </w:rPr>
        <w:t xml:space="preserve">Disaggregation: </w:t>
      </w:r>
      <w:r>
        <w:rPr>
          <w:color w:val="0B2748"/>
          <w:sz w:val="19"/>
          <w:szCs w:val="19"/>
        </w:rPr>
        <w:t xml:space="preserve">sex, age group, grade level, disability status, language of instruction, location</w:t>
      </w:r>
    </w:p>
    <w:p>
      <w:pPr>
        <w:spacing w:after="30"/>
      </w:pPr>
      <w:r>
        <w:rPr>
          <w:b/>
          <w:bCs/>
          <w:color w:val="0B2748"/>
          <w:sz w:val="19"/>
          <w:szCs w:val="19"/>
        </w:rPr>
        <w:t xml:space="preserve">Data source: </w:t>
      </w:r>
      <w:r>
        <w:rPr>
          <w:color w:val="0B2748"/>
          <w:sz w:val="19"/>
          <w:szCs w:val="19"/>
        </w:rPr>
        <w:t xml:space="preserve">Remedial session attendance registers cross-checked with diagnostic assessment results</w:t>
      </w:r>
    </w:p>
    <w:p>
      <w:pPr>
        <w:spacing w:after="30"/>
      </w:pPr>
      <w:r>
        <w:rPr>
          <w:b/>
          <w:bCs/>
          <w:color w:val="0B2748"/>
          <w:sz w:val="19"/>
          <w:szCs w:val="19"/>
        </w:rPr>
        <w:t xml:space="preserve">Frequency: </w:t>
      </w:r>
      <w:r>
        <w:rPr>
          <w:color w:val="0B2748"/>
          <w:sz w:val="19"/>
          <w:szCs w:val="19"/>
        </w:rPr>
        <w:t xml:space="preserve">Quarterly (suggested)</w:t>
      </w:r>
    </w:p>
    <w:p>
      <w:pPr>
        <w:keepNext/>
        <w:spacing w:after="40" w:before="160"/>
      </w:pPr>
      <w:r>
        <w:rPr>
          <w:b/>
          <w:bCs/>
          <w:color w:val="0B2748"/>
          <w:sz w:val="20"/>
          <w:szCs w:val="20"/>
        </w:rPr>
        <w:t xml:space="preserve">Output 3.1  Number of teachers trained in pedagogical practices</w:t>
      </w:r>
    </w:p>
    <w:p>
      <w:pPr>
        <w:spacing w:after="30"/>
      </w:pPr>
      <w:r>
        <w:rPr>
          <w:b/>
          <w:bCs/>
          <w:color w:val="0B2748"/>
          <w:sz w:val="19"/>
          <w:szCs w:val="19"/>
        </w:rPr>
        <w:t xml:space="preserve">Definition: </w:t>
      </w:r>
      <w:r>
        <w:rPr>
          <w:color w:val="0B2748"/>
          <w:sz w:val="19"/>
          <w:szCs w:val="19"/>
        </w:rPr>
        <w:t xml:space="preserve">Total number of teachers who participated in program-led training sessions focused on improving teaching methods, classroom management, or subject-specific instructional techniques.</w:t>
      </w:r>
    </w:p>
    <w:p>
      <w:pPr>
        <w:spacing w:after="30"/>
      </w:pPr>
      <w:r>
        <w:rPr>
          <w:b/>
          <w:bCs/>
          <w:color w:val="0B2748"/>
          <w:sz w:val="19"/>
          <w:szCs w:val="19"/>
        </w:rPr>
        <w:t xml:space="preserve">Disaggregation: </w:t>
      </w:r>
      <w:r>
        <w:rPr>
          <w:color w:val="0B2748"/>
          <w:sz w:val="19"/>
          <w:szCs w:val="19"/>
        </w:rPr>
        <w:t xml:space="preserve">sex, age group, grade level, disability status, language of instruction, location</w:t>
      </w:r>
    </w:p>
    <w:p>
      <w:pPr>
        <w:spacing w:after="30"/>
      </w:pPr>
      <w:r>
        <w:rPr>
          <w:b/>
          <w:bCs/>
          <w:color w:val="0B2748"/>
          <w:sz w:val="19"/>
          <w:szCs w:val="19"/>
        </w:rPr>
        <w:t xml:space="preserve">Data source: </w:t>
      </w:r>
      <w:r>
        <w:rPr>
          <w:color w:val="0B2748"/>
          <w:sz w:val="19"/>
          <w:szCs w:val="19"/>
        </w:rPr>
        <w:t xml:space="preserve">Training attendance registers and participant lists collected and verified through program records</w:t>
      </w:r>
    </w:p>
    <w:p>
      <w:pPr>
        <w:spacing w:after="30"/>
      </w:pPr>
      <w:r>
        <w:rPr>
          <w:b/>
          <w:bCs/>
          <w:color w:val="0B2748"/>
          <w:sz w:val="19"/>
          <w:szCs w:val="19"/>
        </w:rPr>
        <w:t xml:space="preserve">Frequency: </w:t>
      </w:r>
      <w:r>
        <w:rPr>
          <w:color w:val="0B2748"/>
          <w:sz w:val="19"/>
          <w:szCs w:val="19"/>
        </w:rPr>
        <w:t xml:space="preserve">Quarterly (suggested)</w:t>
      </w:r>
    </w:p>
    <w:p>
      <w:pPr>
        <w:keepNext/>
        <w:spacing w:after="40" w:before="160"/>
      </w:pPr>
      <w:r>
        <w:rPr>
          <w:b/>
          <w:bCs/>
          <w:color w:val="0B2748"/>
          <w:sz w:val="20"/>
          <w:szCs w:val="20"/>
        </w:rPr>
        <w:t xml:space="preserve">Output 3.2  Number of early-grade teachers receiving classroom coaching visits on structured pedagogy in the reporting period</w:t>
      </w:r>
    </w:p>
    <w:p>
      <w:pPr>
        <w:spacing w:after="30"/>
      </w:pPr>
      <w:r>
        <w:rPr>
          <w:b/>
          <w:bCs/>
          <w:color w:val="0B2748"/>
          <w:sz w:val="19"/>
          <w:szCs w:val="19"/>
        </w:rPr>
        <w:t xml:space="preserve">Definition: </w:t>
      </w:r>
      <w:r>
        <w:rPr>
          <w:color w:val="0B2748"/>
          <w:sz w:val="19"/>
          <w:szCs w:val="19"/>
        </w:rPr>
        <w:t xml:space="preserve">Unique teachers in target schools who received at least one structured coaching visit on structured pedagogy or formative assessment during the reporting period.</w:t>
      </w:r>
    </w:p>
    <w:p>
      <w:pPr>
        <w:spacing w:after="30"/>
      </w:pPr>
      <w:r>
        <w:rPr>
          <w:b/>
          <w:bCs/>
          <w:color w:val="0B2748"/>
          <w:sz w:val="19"/>
          <w:szCs w:val="19"/>
        </w:rPr>
        <w:t xml:space="preserve">Disaggregation: </w:t>
      </w:r>
      <w:r>
        <w:rPr>
          <w:color w:val="0B2748"/>
          <w:sz w:val="19"/>
          <w:szCs w:val="19"/>
        </w:rPr>
        <w:t xml:space="preserve">sex, age group, grade level, disability status, language of instruction, location</w:t>
      </w:r>
    </w:p>
    <w:p>
      <w:pPr>
        <w:spacing w:after="30"/>
      </w:pPr>
      <w:r>
        <w:rPr>
          <w:b/>
          <w:bCs/>
          <w:color w:val="0B2748"/>
          <w:sz w:val="19"/>
          <w:szCs w:val="19"/>
        </w:rPr>
        <w:t xml:space="preserve">Data source: </w:t>
      </w:r>
      <w:r>
        <w:rPr>
          <w:color w:val="0B2748"/>
          <w:sz w:val="19"/>
          <w:szCs w:val="19"/>
        </w:rPr>
        <w:t xml:space="preserve">Coaching visit logs maintained by coaches and reviewed monthly by the coaching coordinator</w:t>
      </w:r>
    </w:p>
    <w:p>
      <w:pPr>
        <w:spacing w:after="30"/>
      </w:pPr>
      <w:r>
        <w:rPr>
          <w:b/>
          <w:bCs/>
          <w:color w:val="0B2748"/>
          <w:sz w:val="19"/>
          <w:szCs w:val="19"/>
        </w:rPr>
        <w:t xml:space="preserve">Frequency: </w:t>
      </w:r>
      <w:r>
        <w:rPr>
          <w:color w:val="0B2748"/>
          <w:sz w:val="19"/>
          <w:szCs w:val="19"/>
        </w:rPr>
        <w:t xml:space="preserve">Monthly</w:t>
      </w:r>
    </w:p>
    <w:p>
      <w:pPr>
        <w:keepNext/>
        <w:spacing w:after="40" w:before="160"/>
      </w:pPr>
      <w:r>
        <w:rPr>
          <w:b/>
          <w:bCs/>
          <w:color w:val="0B2748"/>
          <w:sz w:val="20"/>
          <w:szCs w:val="20"/>
        </w:rPr>
        <w:t xml:space="preserve">Output 4.1  Number of decodable readers and numeracy materials in the language of instruction distributed to target classrooms</w:t>
      </w:r>
    </w:p>
    <w:p>
      <w:pPr>
        <w:spacing w:after="30"/>
      </w:pPr>
      <w:r>
        <w:rPr>
          <w:b/>
          <w:bCs/>
          <w:color w:val="0B2748"/>
          <w:sz w:val="19"/>
          <w:szCs w:val="19"/>
        </w:rPr>
        <w:t xml:space="preserve">Definition: </w:t>
      </w:r>
      <w:r>
        <w:rPr>
          <w:color w:val="0B2748"/>
          <w:sz w:val="19"/>
          <w:szCs w:val="19"/>
        </w:rPr>
        <w:t xml:space="preserve">Total quantity of decodable readers, structured lesson plans, and numeracy materials in the language of instruction delivered to early-grade classrooms in target schools during the reporting period.</w:t>
      </w:r>
    </w:p>
    <w:p>
      <w:pPr>
        <w:spacing w:after="30"/>
      </w:pPr>
      <w:r>
        <w:rPr>
          <w:b/>
          <w:bCs/>
          <w:color w:val="0B2748"/>
          <w:sz w:val="19"/>
          <w:szCs w:val="19"/>
        </w:rPr>
        <w:t xml:space="preserve">Disaggregation: </w:t>
      </w:r>
      <w:r>
        <w:rPr>
          <w:color w:val="0B2748"/>
          <w:sz w:val="19"/>
          <w:szCs w:val="19"/>
        </w:rPr>
        <w:t xml:space="preserve">sex, age group, grade level, disability status, language of instruction, location</w:t>
      </w:r>
    </w:p>
    <w:p>
      <w:pPr>
        <w:spacing w:after="30"/>
      </w:pPr>
      <w:r>
        <w:rPr>
          <w:b/>
          <w:bCs/>
          <w:color w:val="0B2748"/>
          <w:sz w:val="19"/>
          <w:szCs w:val="19"/>
        </w:rPr>
        <w:t xml:space="preserve">Data source: </w:t>
      </w:r>
      <w:r>
        <w:rPr>
          <w:color w:val="0B2748"/>
          <w:sz w:val="19"/>
          <w:szCs w:val="19"/>
        </w:rPr>
        <w:t xml:space="preserve">Distribution logs and classroom inventory checks during school monitoring visits</w:t>
      </w:r>
    </w:p>
    <w:p>
      <w:pPr>
        <w:spacing w:after="30"/>
      </w:pPr>
      <w:r>
        <w:rPr>
          <w:b/>
          <w:bCs/>
          <w:color w:val="0B2748"/>
          <w:sz w:val="19"/>
          <w:szCs w:val="19"/>
        </w:rPr>
        <w:t xml:space="preserve">Frequency: </w:t>
      </w:r>
      <w:r>
        <w:rPr>
          <w:color w:val="0B2748"/>
          <w:sz w:val="19"/>
          <w:szCs w:val="19"/>
        </w:rPr>
        <w:t xml:space="preserve">Quarterly (suggested)</w:t>
      </w:r>
    </w:p>
    <w:p>
      <w:pPr>
        <w:keepNext/>
        <w:spacing w:after="40" w:before="160"/>
      </w:pPr>
      <w:r>
        <w:rPr>
          <w:b/>
          <w:bCs/>
          <w:color w:val="0B2748"/>
          <w:sz w:val="20"/>
          <w:szCs w:val="20"/>
        </w:rPr>
        <w:t xml:space="preserve">Output 5.1  Number of standardized early-grade reading and numeracy assessment rounds administered in target schools</w:t>
      </w:r>
    </w:p>
    <w:p>
      <w:pPr>
        <w:spacing w:after="30"/>
      </w:pPr>
      <w:r>
        <w:rPr>
          <w:b/>
          <w:bCs/>
          <w:color w:val="0B2748"/>
          <w:sz w:val="19"/>
          <w:szCs w:val="19"/>
        </w:rPr>
        <w:t xml:space="preserve">Definition: </w:t>
      </w:r>
      <w:r>
        <w:rPr>
          <w:color w:val="0B2748"/>
          <w:sz w:val="19"/>
          <w:szCs w:val="19"/>
        </w:rPr>
        <w:t xml:space="preserve">Number of complete assessment cycles (administration plus school-level review meeting) of standardized early-grade reading and numeracy assessments conducted in target schools during the reporting period.</w:t>
      </w:r>
    </w:p>
    <w:p>
      <w:pPr>
        <w:spacing w:after="30"/>
      </w:pPr>
      <w:r>
        <w:rPr>
          <w:b/>
          <w:bCs/>
          <w:color w:val="0B2748"/>
          <w:sz w:val="19"/>
          <w:szCs w:val="19"/>
        </w:rPr>
        <w:t xml:space="preserve">Disaggregation: </w:t>
      </w:r>
      <w:r>
        <w:rPr>
          <w:color w:val="0B2748"/>
          <w:sz w:val="19"/>
          <w:szCs w:val="19"/>
        </w:rPr>
        <w:t xml:space="preserve">sex, age group, grade level, disability status, language of instruction, location</w:t>
      </w:r>
    </w:p>
    <w:p>
      <w:pPr>
        <w:spacing w:after="30"/>
      </w:pPr>
      <w:r>
        <w:rPr>
          <w:b/>
          <w:bCs/>
          <w:color w:val="0B2748"/>
          <w:sz w:val="19"/>
          <w:szCs w:val="19"/>
        </w:rPr>
        <w:t xml:space="preserve">Data source: </w:t>
      </w:r>
      <w:r>
        <w:rPr>
          <w:color w:val="0B2748"/>
          <w:sz w:val="19"/>
          <w:szCs w:val="19"/>
        </w:rPr>
        <w:t xml:space="preserve">Assessment administration records and minutes of school-level data review meetings</w:t>
      </w:r>
    </w:p>
    <w:p>
      <w:pPr>
        <w:spacing w:after="30"/>
      </w:pPr>
      <w:r>
        <w:rPr>
          <w:b/>
          <w:bCs/>
          <w:color w:val="0B2748"/>
          <w:sz w:val="19"/>
          <w:szCs w:val="19"/>
        </w:rPr>
        <w:t xml:space="preserve">Frequency: </w:t>
      </w:r>
      <w:r>
        <w:rPr>
          <w:color w:val="0B2748"/>
          <w:sz w:val="19"/>
          <w:szCs w:val="19"/>
        </w:rPr>
        <w:t xml:space="preserve">Quarterly (suggested)</w:t>
      </w:r>
    </w:p>
    <w:p>
      <w:pPr>
        <w:keepNext/>
        <w:spacing w:after="40" w:before="160"/>
      </w:pPr>
      <w:r>
        <w:rPr>
          <w:b/>
          <w:bCs/>
          <w:color w:val="0B2748"/>
          <w:sz w:val="20"/>
          <w:szCs w:val="20"/>
        </w:rPr>
        <w:t xml:space="preserve">Activity 3.1  Number of coaching cycles completed by classroom coaches in target schools during the reporting period</w:t>
      </w:r>
    </w:p>
    <w:p>
      <w:pPr>
        <w:spacing w:after="30"/>
      </w:pPr>
      <w:r>
        <w:rPr>
          <w:b/>
          <w:bCs/>
          <w:color w:val="0B2748"/>
          <w:sz w:val="19"/>
          <w:szCs w:val="19"/>
        </w:rPr>
        <w:t xml:space="preserve">Definition: </w:t>
      </w:r>
      <w:r>
        <w:rPr>
          <w:color w:val="0B2748"/>
          <w:sz w:val="19"/>
          <w:szCs w:val="19"/>
        </w:rPr>
        <w:t xml:space="preserve">Complete coaching cycles (pre-conference, classroom observation, post-conference) executed by trained coaches with target teachers during the reporting period.</w:t>
      </w:r>
    </w:p>
    <w:p>
      <w:pPr>
        <w:spacing w:after="30"/>
      </w:pPr>
      <w:r>
        <w:rPr>
          <w:b/>
          <w:bCs/>
          <w:color w:val="0B2748"/>
          <w:sz w:val="19"/>
          <w:szCs w:val="19"/>
        </w:rPr>
        <w:t xml:space="preserve">Disaggregation: </w:t>
      </w:r>
      <w:r>
        <w:rPr>
          <w:color w:val="0B2748"/>
          <w:sz w:val="19"/>
          <w:szCs w:val="19"/>
        </w:rPr>
        <w:t xml:space="preserve">sex, age group, grade level, disability status, language of instruction, location</w:t>
      </w:r>
    </w:p>
    <w:p>
      <w:pPr>
        <w:spacing w:after="30"/>
      </w:pPr>
      <w:r>
        <w:rPr>
          <w:b/>
          <w:bCs/>
          <w:color w:val="0B2748"/>
          <w:sz w:val="19"/>
          <w:szCs w:val="19"/>
        </w:rPr>
        <w:t xml:space="preserve">Data source: </w:t>
      </w:r>
      <w:r>
        <w:rPr>
          <w:color w:val="0B2748"/>
          <w:sz w:val="19"/>
          <w:szCs w:val="19"/>
        </w:rPr>
        <w:t xml:space="preserve">Coaching cycle logs maintained by coaches and aggregated monthly by the coaching coordinator</w:t>
      </w:r>
    </w:p>
    <w:p>
      <w:pPr>
        <w:spacing w:after="30"/>
      </w:pPr>
      <w:r>
        <w:rPr>
          <w:b/>
          <w:bCs/>
          <w:color w:val="0B2748"/>
          <w:sz w:val="19"/>
          <w:szCs w:val="19"/>
        </w:rPr>
        <w:t xml:space="preserve">Frequency: </w:t>
      </w:r>
      <w:r>
        <w:rPr>
          <w:color w:val="0B2748"/>
          <w:sz w:val="19"/>
          <w:szCs w:val="19"/>
        </w:rPr>
        <w:t xml:space="preserve">Monthly</w:t>
      </w:r>
    </w:p>
    <w:p>
      <w:pPr>
        <w:keepNext/>
        <w:spacing w:after="100" w:before="280"/>
      </w:pPr>
      <w:r>
        <w:rPr>
          <w:b/>
          <w:bCs/>
          <w:color w:val="0B2748"/>
          <w:sz w:val="28"/>
          <w:szCs w:val="28"/>
        </w:rPr>
        <w:t xml:space="preserve">Assumptions</w:t>
      </w:r>
    </w:p>
    <w:p>
      <w:pPr>
        <w:pStyle w:val="ListParagraph"/>
        <w:numPr>
          <w:ilvl w:val="0"/>
          <w:numId w:val="1"/>
        </w:numPr>
        <w:spacing w:after="40"/>
      </w:pPr>
      <w:r>
        <w:rPr>
          <w:color w:val="0B2748"/>
          <w:sz w:val="19"/>
          <w:szCs w:val="19"/>
        </w:rPr>
        <w:t xml:space="preserve">The language of classroom instruction is appropriate for early-grade learners and supported by curriculum policy</w:t>
      </w:r>
    </w:p>
    <w:p>
      <w:pPr>
        <w:pStyle w:val="ListParagraph"/>
        <w:numPr>
          <w:ilvl w:val="0"/>
          <w:numId w:val="1"/>
        </w:numPr>
        <w:spacing w:after="40"/>
      </w:pPr>
      <w:r>
        <w:rPr>
          <w:color w:val="0B2748"/>
          <w:sz w:val="19"/>
          <w:szCs w:val="19"/>
        </w:rPr>
        <w:t xml:space="preserve">Teachers attend training and coaching sessions consistently and apply techniques in classrooms</w:t>
      </w:r>
    </w:p>
    <w:p>
      <w:pPr>
        <w:pStyle w:val="ListParagraph"/>
        <w:numPr>
          <w:ilvl w:val="0"/>
          <w:numId w:val="1"/>
        </w:numPr>
        <w:spacing w:after="40"/>
      </w:pPr>
      <w:r>
        <w:rPr>
          <w:color w:val="0B2748"/>
          <w:sz w:val="19"/>
          <w:szCs w:val="19"/>
        </w:rPr>
        <w:t xml:space="preserve">Schools have sufficient instructional time available to deliver structured lessons without major disruption</w:t>
      </w:r>
    </w:p>
    <w:p>
      <w:pPr>
        <w:pStyle w:val="ListParagraph"/>
        <w:numPr>
          <w:ilvl w:val="0"/>
          <w:numId w:val="1"/>
        </w:numPr>
        <w:spacing w:after="40"/>
      </w:pPr>
      <w:r>
        <w:rPr>
          <w:color w:val="0B2748"/>
          <w:sz w:val="19"/>
          <w:szCs w:val="19"/>
        </w:rPr>
        <w:t xml:space="preserve">Education authorities accept and act on learning assessment data without political resistance</w:t>
      </w:r>
    </w:p>
    <w:p>
      <w:pPr>
        <w:pStyle w:val="ListParagraph"/>
        <w:numPr>
          <w:ilvl w:val="0"/>
          <w:numId w:val="1"/>
        </w:numPr>
        <w:spacing w:after="40"/>
      </w:pPr>
      <w:r>
        <w:rPr>
          <w:color w:val="0B2748"/>
          <w:sz w:val="19"/>
          <w:szCs w:val="19"/>
        </w:rPr>
        <w:t xml:space="preserve">Parents and caregivers support children practicing reading and numeracy at home where possible</w:t>
      </w:r>
    </w:p>
    <w:sectPr>
      <w:footerReference w:type="default" r:id="rId7"/>
      <w:pgSz w:w="16838" w:h="11906" w:orient="landscape"/>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pPr>
    <w:r>
      <w:rPr>
        <w:color w:val="1A7A8A"/>
        <w:sz w:val="16"/>
        <w:szCs w:val="16"/>
      </w:rPr>
      <w:t xml:space="preserve">M&amp;E Studio | monitoringevaluationstudio.com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274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Foundational Literacy and Numeracy Improvement Program for Early-Grade Learners: Logic Model</dc:title>
  <dc:creator>M&amp;E Studio</dc:creator>
  <cp:lastModifiedBy>Un-named</cp:lastModifiedBy>
  <cp:revision>1</cp:revision>
  <dcterms:created xsi:type="dcterms:W3CDTF">2026-10-15T01:24:45.748Z</dcterms:created>
  <dcterms:modified xsi:type="dcterms:W3CDTF">2026-10-15T01:24:45.748Z</dcterms:modified>
</cp:coreProperties>
</file>

<file path=docProps/custom.xml><?xml version="1.0" encoding="utf-8"?>
<Properties xmlns="http://schemas.openxmlformats.org/officeDocument/2006/custom-properties" xmlns:vt="http://schemas.openxmlformats.org/officeDocument/2006/docPropsVTypes"/>
</file>