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600"/>
      </w:pPr>
    </w:p>
    <w:p>
      <w:pPr>
        <w:jc w:val="center"/>
      </w:pPr>
      <w:r>
        <w:rPr>
          <w:rFonts w:ascii="Arial" w:cs="Arial" w:eastAsia="Arial" w:hAnsi="Arial"/>
          <w:b/>
          <w:bCs/>
          <w:color w:val="0F766E"/>
          <w:sz w:val="48"/>
          <w:szCs w:val="48"/>
        </w:rPr>
        <w:t xml:space="preserve">Survey Design Checklist</w:t>
      </w:r>
    </w:p>
    <w:p>
      <w:pPr>
        <w:spacing w:before="120" w:after="300"/>
        <w:jc w:val="center"/>
      </w:pPr>
      <w:r>
        <w:rPr>
          <w:rFonts w:ascii="Arial" w:cs="Arial" w:eastAsia="Arial" w:hAnsi="Arial"/>
          <w:i/>
          <w:iCs/>
          <w:color w:val="14B8A6"/>
          <w:sz w:val="24"/>
          <w:szCs w:val="24"/>
        </w:rPr>
        <w:t xml:space="preserve">Systematic Approach to High-Quality Data Collection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c>
          <w:tcPr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6B7280"/>
                <w:sz w:val="12"/>
                <w:szCs w:val="12"/>
              </w:rPr>
              <w:t xml:space="preserve">TEMPLATE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1F2937"/>
                <w:sz w:val="16"/>
                <w:szCs w:val="16"/>
              </w:rPr>
              <w:t xml:space="preserve">2.8</w:t>
            </w:r>
          </w:p>
        </w:tc>
        <w:tc>
          <w:tcPr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6B7280"/>
                <w:sz w:val="12"/>
                <w:szCs w:val="12"/>
              </w:rPr>
              <w:t xml:space="preserve">TYPE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1F2937"/>
                <w:sz w:val="16"/>
                <w:szCs w:val="16"/>
              </w:rPr>
              <w:t xml:space="preserve">Checklist Guide</w:t>
            </w:r>
          </w:p>
        </w:tc>
        <w:tc>
          <w:tcPr>
            <w:tcBorders>
              <w:top w:val="none"/>
              <w:left w:val="none"/>
              <w:bottom w:val="none"/>
              <w:right w:val="none"/>
            </w:tcBorders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6B7280"/>
                <w:sz w:val="12"/>
                <w:szCs w:val="12"/>
              </w:rPr>
              <w:t xml:space="preserve">TIME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1F2937"/>
                <w:sz w:val="16"/>
                <w:szCs w:val="16"/>
              </w:rPr>
              <w:t xml:space="preserve">Planning Tool</w:t>
            </w:r>
          </w:p>
        </w:tc>
      </w:tr>
    </w:tbl>
    <w:p>
      <w:r>
        <w:br w:type="page"/>
      </w:r>
    </w:p>
    <w:p>
      <w:pPr>
        <w:spacing w:before="200" w:after="200"/>
      </w:pPr>
      <w:r>
        <w:rPr>
          <w:rFonts w:ascii="Arial" w:cs="Arial" w:eastAsia="Arial" w:hAnsi="Arial"/>
          <w:b/>
          <w:bCs/>
          <w:color w:val="0D9488"/>
          <w:spacing w:val="40"/>
          <w:sz w:val="24"/>
          <w:szCs w:val="24"/>
        </w:rPr>
        <w:t xml:space="preserve">TABLE OF CONTENTS</w:t>
      </w:r>
    </w:p>
    <w:p>
      <w:pPr>
        <w:spacing w:before="8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1.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Pre-Design Planning</w:t>
      </w:r>
    </w:p>
    <w:p>
      <w:pPr>
        <w:spacing w:before="8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2.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Questionnaire Design</w:t>
      </w:r>
    </w:p>
    <w:p>
      <w:pPr>
        <w:spacing w:before="8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3.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Sampling &amp; Selection</w:t>
      </w:r>
    </w:p>
    <w:p>
      <w:pPr>
        <w:spacing w:before="8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4.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Field Preparation</w:t>
      </w:r>
    </w:p>
    <w:p>
      <w:pPr>
        <w:spacing w:before="8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5.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Data Quality Assurance</w:t>
      </w:r>
    </w:p>
    <w:p>
      <w:pPr>
        <w:spacing w:before="8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6.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Analysis Planning</w:t>
      </w:r>
    </w:p>
    <w:p>
      <w:r>
        <w:br w:type="pag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none"/>
            </w:tcBorders>
            <w:shd w:fill="0D9488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40"/>
                <w:sz w:val="24"/>
                <w:szCs w:val="24"/>
              </w:rPr>
              <w:t xml:space="preserve">PHASE 1: PRE-DESIGN PLANNING</w:t>
            </w:r>
          </w:p>
        </w:tc>
      </w:tr>
    </w:tbl>
    <w:p>
      <w:pPr>
        <w:spacing w:before="200"/>
      </w:pPr>
    </w:p>
    <w:p>
      <w:pPr>
        <w:spacing w:before="280" w:after="80"/>
      </w:pPr>
      <w:r>
        <w:rPr>
          <w:rFonts w:ascii="Arial" w:cs="Arial" w:eastAsia="Arial" w:hAnsi="Arial"/>
          <w:b/>
          <w:bCs/>
          <w:color w:val="0D9488"/>
          <w:sz w:val="24"/>
          <w:szCs w:val="24"/>
        </w:rPr>
        <w:t xml:space="preserve">Define Survey Objectives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14B8A6"/>
          <w:sz w:val="20"/>
          <w:szCs w:val="20"/>
        </w:rPr>
        <w:t xml:space="preserve">Research Questions &amp; Information Needs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Primary evaluation questions are clearly defined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Information gaps are identified (data not available elsewhere)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Alignment with program logic model confirmed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Decision-making uses are articulated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Secondary uses are documented</w:t>
      </w:r>
    </w:p>
    <w:p>
      <w:pPr>
        <w:spacing w:before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4B8A6"/>
          <w:sz w:val="20"/>
          <w:szCs w:val="20"/>
        </w:rPr>
        <w:t xml:space="preserve">Indicator Specifications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All indicators are operationally defined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Data sources for each indicator are confirmed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Baseline values are available or will be established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Targets are set for comparison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Disaggregation requirements are specified</w:t>
      </w:r>
    </w:p>
    <w:p>
      <w:pPr>
        <w:spacing w:before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4B8A6"/>
          <w:sz w:val="20"/>
          <w:szCs w:val="20"/>
        </w:rPr>
        <w:t xml:space="preserve">Survey Timing &amp; Context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Survey timing aligns with program cycle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Seasonal considerations are addressed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Recall period is appropriate for questions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External events are considered</w:t>
      </w:r>
    </w:p>
    <w:p>
      <w:pPr>
        <w:spacing w:before="200"/>
      </w:pPr>
    </w:p>
    <w:p>
      <w:pPr>
        <w:spacing w:before="280" w:after="80"/>
      </w:pPr>
      <w:r>
        <w:rPr>
          <w:rFonts w:ascii="Arial" w:cs="Arial" w:eastAsia="Arial" w:hAnsi="Arial"/>
          <w:b/>
          <w:bCs/>
          <w:color w:val="0D9488"/>
          <w:sz w:val="24"/>
          <w:szCs w:val="24"/>
        </w:rPr>
        <w:t xml:space="preserve">Define Target Population &amp; Sampling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14B8A6"/>
          <w:sz w:val="20"/>
          <w:szCs w:val="20"/>
        </w:rPr>
        <w:t xml:space="preserve">Population Definition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Target population is precisely defined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Unit of analysis is specified (individual, household, facility)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Inclusion/exclusion criteria are documented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Population size is estimated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Subpopulations of interest are identified</w:t>
      </w:r>
    </w:p>
    <w:p>
      <w:pPr>
        <w:spacing w:before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4B8A6"/>
          <w:sz w:val="20"/>
          <w:szCs w:val="20"/>
        </w:rPr>
        <w:t xml:space="preserve">Sampling Frame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Sampling frame is identified (list, map, registry)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Sampling frame quality is assessed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Coverage gaps are identified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Frame updates are planned if needed</w:t>
      </w:r>
    </w:p>
    <w:p>
      <w:pPr>
        <w:spacing w:before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4B8A6"/>
          <w:sz w:val="20"/>
          <w:szCs w:val="20"/>
        </w:rPr>
        <w:t xml:space="preserve">Sample Size &amp; Design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Sample size calculation is completed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Sampling design is selected (random, stratified, cluster)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Design effect is accounted for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Non-response rate is anticipated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Budget constraints are reconciled</w:t>
      </w:r>
    </w:p>
    <w:p>
      <w:r>
        <w:br w:type="pag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none"/>
            </w:tcBorders>
            <w:shd w:fill="0D9488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40"/>
                <w:sz w:val="24"/>
                <w:szCs w:val="24"/>
              </w:rPr>
              <w:t xml:space="preserve">PHASE 2: QUESTIONNAIRE DESIGN</w:t>
            </w:r>
          </w:p>
        </w:tc>
      </w:tr>
    </w:tbl>
    <w:p>
      <w:pPr>
        <w:spacing w:before="200"/>
      </w:pPr>
    </w:p>
    <w:p>
      <w:pPr>
        <w:spacing w:before="280" w:after="80"/>
      </w:pPr>
      <w:r>
        <w:rPr>
          <w:rFonts w:ascii="Arial" w:cs="Arial" w:eastAsia="Arial" w:hAnsi="Arial"/>
          <w:b/>
          <w:bCs/>
          <w:color w:val="0D9488"/>
          <w:sz w:val="24"/>
          <w:szCs w:val="24"/>
        </w:rPr>
        <w:t xml:space="preserve">Question Construction</w:t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14B8A6"/>
          <w:sz w:val="20"/>
          <w:szCs w:val="20"/>
        </w:rPr>
        <w:t xml:space="preserve">Question Wording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Questions use simple, clear language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Technical terms are defined or avoided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Questions are neutral (not leading)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Double-barreled questions are avoided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Response options are mutually exclusive and exhaustive</w:t>
      </w:r>
    </w:p>
    <w:p>
      <w:pPr>
        <w:spacing w:before="12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14B8A6"/>
          <w:sz w:val="20"/>
          <w:szCs w:val="20"/>
        </w:rPr>
        <w:t xml:space="preserve">Response Formats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</w:tblGrid>
      <w:tr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shd w:fill="0D948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Format</w:t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shd w:fill="0D948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Best For</w:t>
            </w:r>
          </w:p>
        </w:tc>
        <w:tc>
          <w:tcPr>
            <w:tcW w:type="dxa" w:w="3120"/>
            <w:tcBorders>
              <w:top w:val="none"/>
              <w:left w:val="none"/>
              <w:bottom w:val="none"/>
              <w:right w:val="none"/>
            </w:tcBorders>
            <w:shd w:fill="0D9488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Considerations</w:t>
            </w:r>
          </w:p>
        </w:tc>
      </w:tr>
      <w:tr>
        <w:tc>
          <w:tcPr>
            <w:tcW w:type="dxa" w:w="3120"/>
            <w:tcBorders>
              <w:top w:val="none"/>
              <w:left w:val="none"/>
              <w:bottom w:val="single" w:color="E5E7EB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F2937"/>
                <w:sz w:val="16"/>
                <w:szCs w:val="16"/>
              </w:rPr>
              <w:t xml:space="preserve">Yes/No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5E7EB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F2937"/>
                <w:sz w:val="16"/>
                <w:szCs w:val="16"/>
              </w:rPr>
              <w:t xml:space="preserve">Simple binary facts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5E7EB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F2937"/>
                <w:sz w:val="16"/>
                <w:szCs w:val="16"/>
              </w:rPr>
              <w:t xml:space="preserve">May oversimplify complex situations</w:t>
            </w:r>
          </w:p>
        </w:tc>
      </w:tr>
      <w:tr>
        <w:tc>
          <w:tcPr>
            <w:tcW w:type="dxa" w:w="3120"/>
            <w:tcBorders>
              <w:top w:val="none"/>
              <w:left w:val="none"/>
              <w:bottom w:val="single" w:color="E5E7EB" w:sz="1"/>
              <w:right w:val="none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F2937"/>
                <w:sz w:val="16"/>
                <w:szCs w:val="16"/>
              </w:rPr>
              <w:t xml:space="preserve">Multiple choice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5E7EB" w:sz="1"/>
              <w:right w:val="none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F2937"/>
                <w:sz w:val="16"/>
                <w:szCs w:val="16"/>
              </w:rPr>
              <w:t xml:space="preserve">Categorical data with known options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5E7EB" w:sz="1"/>
              <w:right w:val="none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F2937"/>
                <w:sz w:val="16"/>
                <w:szCs w:val="16"/>
              </w:rPr>
              <w:t xml:space="preserve">Include 'Other' option</w:t>
            </w:r>
          </w:p>
        </w:tc>
      </w:tr>
      <w:tr>
        <w:tc>
          <w:tcPr>
            <w:tcW w:type="dxa" w:w="3120"/>
            <w:tcBorders>
              <w:top w:val="none"/>
              <w:left w:val="none"/>
              <w:bottom w:val="single" w:color="E5E7EB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F2937"/>
                <w:sz w:val="16"/>
                <w:szCs w:val="16"/>
              </w:rPr>
              <w:t xml:space="preserve">Likert scale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5E7EB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F2937"/>
                <w:sz w:val="16"/>
                <w:szCs w:val="16"/>
              </w:rPr>
              <w:t xml:space="preserve">Attitudes, satisfaction, agreement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5E7EB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F2937"/>
                <w:sz w:val="16"/>
                <w:szCs w:val="16"/>
              </w:rPr>
              <w:t xml:space="preserve">Use 5-point minimum, include neutral</w:t>
            </w:r>
          </w:p>
        </w:tc>
      </w:tr>
      <w:tr>
        <w:tc>
          <w:tcPr>
            <w:tcW w:type="dxa" w:w="3120"/>
            <w:tcBorders>
              <w:top w:val="none"/>
              <w:left w:val="none"/>
              <w:bottom w:val="single" w:color="E5E7EB" w:sz="1"/>
              <w:right w:val="none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F2937"/>
                <w:sz w:val="16"/>
                <w:szCs w:val="16"/>
              </w:rPr>
              <w:t xml:space="preserve">Numeric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5E7EB" w:sz="1"/>
              <w:right w:val="none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F2937"/>
                <w:sz w:val="16"/>
                <w:szCs w:val="16"/>
              </w:rPr>
              <w:t xml:space="preserve">Quantities, counts, amounts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5E7EB" w:sz="1"/>
              <w:right w:val="none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F2937"/>
                <w:sz w:val="16"/>
                <w:szCs w:val="16"/>
              </w:rPr>
              <w:t xml:space="preserve">Specify units, set reasonable ranges</w:t>
            </w:r>
          </w:p>
        </w:tc>
      </w:tr>
      <w:tr>
        <w:tc>
          <w:tcPr>
            <w:tcW w:type="dxa" w:w="3120"/>
            <w:tcBorders>
              <w:top w:val="none"/>
              <w:left w:val="none"/>
              <w:bottom w:val="single" w:color="E5E7EB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F2937"/>
                <w:sz w:val="16"/>
                <w:szCs w:val="16"/>
              </w:rPr>
              <w:t xml:space="preserve">Open-ended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5E7EB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F2937"/>
                <w:sz w:val="16"/>
                <w:szCs w:val="16"/>
              </w:rPr>
              <w:t xml:space="preserve">Exploration, detail, context</w:t>
            </w:r>
          </w:p>
        </w:tc>
        <w:tc>
          <w:tcPr>
            <w:tcW w:type="dxa" w:w="3120"/>
            <w:tcBorders>
              <w:top w:val="none"/>
              <w:left w:val="none"/>
              <w:bottom w:val="single" w:color="E5E7EB" w:sz="1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F2937"/>
                <w:sz w:val="16"/>
                <w:szCs w:val="16"/>
              </w:rPr>
              <w:t xml:space="preserve">Harder to analyze, use sparingly</w:t>
            </w:r>
          </w:p>
        </w:tc>
      </w:tr>
    </w:tbl>
    <w:p>
      <w:pPr>
        <w:spacing w:before="200"/>
      </w:pPr>
    </w:p>
    <w:p>
      <w:pPr>
        <w:spacing w:before="280" w:after="80"/>
      </w:pPr>
      <w:r>
        <w:rPr>
          <w:rFonts w:ascii="Arial" w:cs="Arial" w:eastAsia="Arial" w:hAnsi="Arial"/>
          <w:b/>
          <w:bCs/>
          <w:color w:val="0D9488"/>
          <w:sz w:val="24"/>
          <w:szCs w:val="24"/>
        </w:rPr>
        <w:t xml:space="preserve">Questionnaire Structure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Introduction explains purpose and confidentiality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Easy questions come first (rapport building)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Sensitive questions placed later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Logical flow within sections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Skip patterns are clear and tested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Length is appropriate (30-45 min max for household)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single" w:color="F59E0B" w:sz="12"/>
              <w:bottom w:val="none"/>
              <w:right w:val="none"/>
            </w:tcBorders>
            <w:shd w:fill="F3F4F6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59E0B"/>
                <w:sz w:val="18"/>
                <w:szCs w:val="18"/>
              </w:rPr>
              <w:t xml:space="preserve">💡 Best Practice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color w:val="1F2937"/>
                <w:sz w:val="16"/>
                <w:szCs w:val="16"/>
              </w:rPr>
              <w:t xml:space="preserve">Pilot test with 10-15 respondents. Time each section. Identify confusing questions. Revise before full deployment.</w:t>
            </w:r>
          </w:p>
        </w:tc>
      </w:tr>
    </w:tbl>
    <w:p>
      <w:r>
        <w:br w:type="pag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none"/>
            </w:tcBorders>
            <w:shd w:fill="0D9488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40"/>
                <w:sz w:val="24"/>
                <w:szCs w:val="24"/>
              </w:rPr>
              <w:t xml:space="preserve">PHASE 3: FIELD PREPARATION</w:t>
            </w:r>
          </w:p>
        </w:tc>
      </w:tr>
    </w:tbl>
    <w:p>
      <w:pPr>
        <w:spacing w:before="200"/>
      </w:pPr>
    </w:p>
    <w:p>
      <w:pPr>
        <w:spacing w:before="280" w:after="80"/>
      </w:pPr>
      <w:r>
        <w:rPr>
          <w:rFonts w:ascii="Arial" w:cs="Arial" w:eastAsia="Arial" w:hAnsi="Arial"/>
          <w:b/>
          <w:bCs/>
          <w:color w:val="0D9488"/>
          <w:sz w:val="24"/>
          <w:szCs w:val="24"/>
        </w:rPr>
        <w:t xml:space="preserve">Enumerator Training</w:t>
      </w:r>
    </w:p>
    <w:p>
      <w:pPr>
        <w:spacing w:before="60" w:after="60"/>
        <w:ind w:left="30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1.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Survey objectives and importance</w:t>
      </w:r>
    </w:p>
    <w:p>
      <w:pPr>
        <w:spacing w:before="60" w:after="60"/>
        <w:ind w:left="30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2.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Questionnaire review (question-by-question)</w:t>
      </w:r>
    </w:p>
    <w:p>
      <w:pPr>
        <w:spacing w:before="60" w:after="60"/>
        <w:ind w:left="30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3.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Interviewing techniques and rapport building</w:t>
      </w:r>
    </w:p>
    <w:p>
      <w:pPr>
        <w:spacing w:before="60" w:after="60"/>
        <w:ind w:left="30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4.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Handling difficult situations</w:t>
      </w:r>
    </w:p>
    <w:p>
      <w:pPr>
        <w:spacing w:before="60" w:after="60"/>
        <w:ind w:left="30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5.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Data quality protocols</w:t>
      </w:r>
    </w:p>
    <w:p>
      <w:pPr>
        <w:spacing w:before="60" w:after="60"/>
        <w:ind w:left="30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6.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Technology use (if mobile data collection)</w:t>
      </w:r>
    </w:p>
    <w:p>
      <w:pPr>
        <w:spacing w:before="60" w:after="60"/>
        <w:ind w:left="30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7.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Practice interviews (role play)</w:t>
      </w:r>
    </w:p>
    <w:p>
      <w:pPr>
        <w:spacing w:before="60" w:after="60"/>
        <w:ind w:left="30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8.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Field practice with actual respondents</w:t>
      </w:r>
    </w:p>
    <w:p>
      <w:pPr>
        <w:spacing w:before="200"/>
      </w:pPr>
    </w:p>
    <w:p>
      <w:pPr>
        <w:spacing w:before="280" w:after="80"/>
      </w:pPr>
      <w:r>
        <w:rPr>
          <w:rFonts w:ascii="Arial" w:cs="Arial" w:eastAsia="Arial" w:hAnsi="Arial"/>
          <w:b/>
          <w:bCs/>
          <w:color w:val="0D9488"/>
          <w:sz w:val="24"/>
          <w:szCs w:val="24"/>
        </w:rPr>
        <w:t xml:space="preserve">Quality Assurance Protocols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Supervisor spot-checks (10% of interviews)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Back-checks with respondents (5-10%)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Real-time data review for errors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Daily debrief meetings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Clear escalation for problems</w:t>
      </w:r>
    </w:p>
    <w:p>
      <w:r>
        <w:br w:type="pag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none"/>
            </w:tcBorders>
            <w:shd w:fill="0D9488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pacing w:val="40"/>
                <w:sz w:val="24"/>
                <w:szCs w:val="24"/>
              </w:rPr>
              <w:t xml:space="preserve">PHASE 4: DATA QUALITY ASSURANCE</w:t>
            </w:r>
          </w:p>
        </w:tc>
      </w:tr>
    </w:tbl>
    <w:p>
      <w:pPr>
        <w:spacing w:before="200"/>
      </w:pPr>
    </w:p>
    <w:p>
      <w:pPr>
        <w:spacing w:before="280" w:after="80"/>
      </w:pPr>
      <w:r>
        <w:rPr>
          <w:rFonts w:ascii="Arial" w:cs="Arial" w:eastAsia="Arial" w:hAnsi="Arial"/>
          <w:b/>
          <w:bCs/>
          <w:color w:val="0D9488"/>
          <w:sz w:val="24"/>
          <w:szCs w:val="24"/>
        </w:rPr>
        <w:t xml:space="preserve">During Data Collection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Daily data uploads and backup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Automated validation checks (ranges, skip logic)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Completeness monitoring (response rates)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Outlier flagging and investigation</w:t>
      </w:r>
    </w:p>
    <w:p>
      <w:pPr>
        <w:spacing w:before="40" w:after="40"/>
        <w:ind w:left="300"/>
      </w:pPr>
      <w:r>
        <w:rPr>
          <w:rFonts w:ascii="Arial" w:cs="Arial" w:eastAsia="Arial" w:hAnsi="Arial"/>
          <w:color w:val="F59E0B"/>
          <w:sz w:val="20"/>
          <w:szCs w:val="20"/>
        </w:rPr>
        <w:t xml:space="preserve">•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Weekly quality reports to management</w:t>
      </w:r>
    </w:p>
    <w:p>
      <w:pPr>
        <w:spacing w:before="200"/>
      </w:pPr>
    </w:p>
    <w:p>
      <w:pPr>
        <w:spacing w:before="280" w:after="80"/>
      </w:pPr>
      <w:r>
        <w:rPr>
          <w:rFonts w:ascii="Arial" w:cs="Arial" w:eastAsia="Arial" w:hAnsi="Arial"/>
          <w:b/>
          <w:bCs/>
          <w:color w:val="0D9488"/>
          <w:sz w:val="24"/>
          <w:szCs w:val="24"/>
        </w:rPr>
        <w:t xml:space="preserve">Post-Collection Cleaning</w:t>
      </w:r>
    </w:p>
    <w:p>
      <w:pPr>
        <w:spacing w:before="60" w:after="60"/>
        <w:ind w:left="30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1.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Check for duplicate records</w:t>
      </w:r>
    </w:p>
    <w:p>
      <w:pPr>
        <w:spacing w:before="60" w:after="60"/>
        <w:ind w:left="30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2.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Verify skip pattern compliance</w:t>
      </w:r>
    </w:p>
    <w:p>
      <w:pPr>
        <w:spacing w:before="60" w:after="60"/>
        <w:ind w:left="30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3.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Identify and investigate outliers</w:t>
      </w:r>
    </w:p>
    <w:p>
      <w:pPr>
        <w:spacing w:before="60" w:after="60"/>
        <w:ind w:left="30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4.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Check for impossible values (negative ages, future dates)</w:t>
      </w:r>
    </w:p>
    <w:p>
      <w:pPr>
        <w:spacing w:before="60" w:after="60"/>
        <w:ind w:left="30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5.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Verify consistency across related questions</w:t>
      </w:r>
    </w:p>
    <w:p>
      <w:pPr>
        <w:spacing w:before="60" w:after="60"/>
        <w:ind w:left="30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6. </w:t>
      </w:r>
      <w:r>
        <w:rPr>
          <w:rFonts w:ascii="Arial" w:cs="Arial" w:eastAsia="Arial" w:hAnsi="Arial"/>
          <w:color w:val="1F2937"/>
          <w:sz w:val="18"/>
          <w:szCs w:val="18"/>
        </w:rPr>
        <w:t xml:space="preserve">Document all cleaning decisions</w:t>
      </w:r>
    </w:p>
    <w:p>
      <w:pPr>
        <w:spacing w:before="300"/>
      </w:pPr>
    </w:p>
    <w:p>
      <w:pPr>
        <w:spacing w:after="120"/>
      </w:pPr>
      <w:r>
        <w:rPr>
          <w:rFonts w:ascii="Arial" w:cs="Arial" w:eastAsia="Arial" w:hAnsi="Arial"/>
          <w:color w:val="1F2937"/>
          <w:sz w:val="20"/>
          <w:szCs w:val="20"/>
        </w:rPr>
        <w:t xml:space="preserve">Version 1.0 | Template 2.8 | Last Updated: December 2025</w:t>
      </w:r>
    </w:p>
    <w:sectPr>
      <w:headerReference w:type="default" r:id="rId6"/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B7280"/>
        <w:sz w:val="12"/>
        <w:szCs w:val="12"/>
      </w:rPr>
      <w:t xml:space="preserve">Page </w:t>
    </w:r>
    <w:r>
      <w:rPr>
        <w:rFonts w:ascii="Arial" w:cs="Arial" w:eastAsia="Arial" w:hAnsi="Arial"/>
        <w:b/>
        <w:bCs/>
        <w:color w:val="0D9488"/>
        <w:sz w:val="12"/>
        <w:szCs w:val="12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B7280"/>
        <w:sz w:val="12"/>
        <w:szCs w:val="12"/>
      </w:rPr>
      <w:t xml:space="preserve"> of </w:t>
    </w:r>
    <w:r>
      <w:rPr>
        <w:rFonts w:ascii="Arial" w:cs="Arial" w:eastAsia="Arial" w:hAnsi="Arial"/>
        <w:color w:val="6B7280"/>
        <w:sz w:val="12"/>
        <w:szCs w:val="12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F59E0B" w:sz="4"/>
      </w:pBdr>
    </w:pPr>
    <w:r>
      <w:rPr>
        <w:rFonts w:ascii="Arial" w:cs="Arial" w:eastAsia="Arial" w:hAnsi="Arial"/>
        <w:b/>
        <w:bCs/>
        <w:color w:val="0D9488"/>
        <w:sz w:val="14"/>
        <w:szCs w:val="14"/>
      </w:rPr>
      <w:t xml:space="preserve">T-2.8</w:t>
    </w:r>
    <w:r>
      <w:rPr>
        <w:rFonts w:ascii="Arial" w:cs="Arial" w:eastAsia="Arial" w:hAnsi="Arial"/>
        <w:color w:val="E5E7EB"/>
        <w:sz w:val="14"/>
        <w:szCs w:val="14"/>
      </w:rPr>
      <w:t xml:space="preserve">  |  </w:t>
    </w:r>
    <w:r>
      <w:rPr>
        <w:rFonts w:ascii="Arial" w:cs="Arial" w:eastAsia="Arial" w:hAnsi="Arial"/>
        <w:color w:val="6B7280"/>
        <w:sz w:val="14"/>
        <w:szCs w:val="14"/>
      </w:rPr>
      <w:t xml:space="preserve">Survey Design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F2937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2026-01-22T14:04:58.986Z</dcterms:created>
  <dcterms:modified xsi:type="dcterms:W3CDTF">2026-01-22T14:04:58.986Z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