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500"/>
      </w:pPr>
    </w:p>
    <w:p>
      <w:pPr>
        <w:jc w:val="center"/>
      </w:pPr>
      <w:r>
        <w:rPr>
          <w:rFonts w:ascii="Arial" w:cs="Arial" w:eastAsia="Arial" w:hAnsi="Arial"/>
          <w:b/>
          <w:bCs/>
          <w:color w:val="0A1628"/>
          <w:sz w:val="44"/>
          <w:szCs w:val="44"/>
        </w:rPr>
        <w:t xml:space="preserve">M&amp;E Standard Operating Procedures</w:t>
      </w:r>
    </w:p>
    <w:p>
      <w:pPr>
        <w:spacing w:before="120" w:after="200"/>
        <w:jc w:val="center"/>
      </w:pPr>
      <w:r>
        <w:rPr>
          <w:rFonts w:ascii="Arial" w:cs="Arial" w:eastAsia="Arial" w:hAnsi="Arial"/>
          <w:i/>
          <w:iCs/>
          <w:color w:val="1E3A5F"/>
          <w:sz w:val="22"/>
          <w:szCs w:val="22"/>
        </w:rPr>
        <w:t xml:space="preserve">SOP Template and Development Guide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4748B"/>
                <w:sz w:val="11"/>
                <w:szCs w:val="11"/>
              </w:rPr>
              <w:t xml:space="preserve">TYPE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Template</w:t>
            </w:r>
          </w:p>
        </w:tc>
        <w:tc>
          <w:tcPr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4748B"/>
                <w:sz w:val="11"/>
                <w:szCs w:val="11"/>
              </w:rPr>
              <w:t xml:space="preserve">PURPOSE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Quality Assurance</w:t>
            </w:r>
          </w:p>
        </w:tc>
        <w:tc>
          <w:tcPr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4748B"/>
                <w:sz w:val="11"/>
                <w:szCs w:val="11"/>
              </w:rPr>
              <w:t xml:space="preserve">VERSION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1E293B"/>
                <w:sz w:val="16"/>
                <w:szCs w:val="16"/>
              </w:rPr>
              <w:t xml:space="preserve">1.0</w:t>
            </w:r>
          </w:p>
        </w:tc>
      </w:tr>
    </w:tbl>
    <w:p>
      <w:r>
        <w:br w:type="pag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22"/>
                <w:szCs w:val="22"/>
              </w:rPr>
              <w:t xml:space="preserve">SOP OVERVIEW</w:t>
            </w:r>
          </w:p>
        </w:tc>
      </w:tr>
    </w:tbl>
    <w:p>
      <w:pPr>
        <w:spacing w:before="180"/>
      </w:pPr>
    </w:p>
    <w:p>
      <w:pPr>
        <w:spacing w:before="240" w:after="80"/>
      </w:pPr>
      <w:r>
        <w:rPr>
          <w:rFonts w:ascii="Arial" w:cs="Arial" w:eastAsia="Arial" w:hAnsi="Arial"/>
          <w:b/>
          <w:bCs/>
          <w:color w:val="152238"/>
          <w:sz w:val="22"/>
          <w:szCs w:val="22"/>
        </w:rPr>
        <w:t xml:space="preserve">Purpose of M&amp;E SOPs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Consistency: Ensure M&amp;E activities are performed the same way every time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Quality Assurance: Codify best practices and reduce errors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Efficiency: Eliminate need to reinvent procedures each time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Training: Serve as materials for new staff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Accountability: Document what should be done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Risk Management: Reduce reliance on any single individual</w:t>
      </w:r>
    </w:p>
    <w:p>
      <w:pPr>
        <w:spacing w:before="160"/>
      </w:pPr>
    </w:p>
    <w:p>
      <w:pPr>
        <w:spacing w:before="240" w:after="80"/>
      </w:pPr>
      <w:r>
        <w:rPr>
          <w:rFonts w:ascii="Arial" w:cs="Arial" w:eastAsia="Arial" w:hAnsi="Arial"/>
          <w:b/>
          <w:bCs/>
          <w:color w:val="152238"/>
          <w:sz w:val="22"/>
          <w:szCs w:val="22"/>
        </w:rPr>
        <w:t xml:space="preserve">When SOPs Are Essential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Data collection procedures (surveys, assessments, monitoring visits)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Data entry and database management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Data quality verification and validation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Reporting workflows and schedules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Indicator calculation and reporting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Ethical protocols (consent, confidentiality)</w:t>
      </w:r>
    </w:p>
    <w:p>
      <w:r>
        <w:br w:type="pag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22"/>
                <w:szCs w:val="22"/>
              </w:rPr>
              <w:t xml:space="preserve">SOP TEMPLATE STRUCTURE</w:t>
            </w:r>
          </w:p>
        </w:tc>
      </w:tr>
    </w:tbl>
    <w:p>
      <w:pPr>
        <w:spacing w:before="180"/>
      </w:pPr>
    </w:p>
    <w:p>
      <w:pPr>
        <w:spacing w:before="240" w:after="80"/>
      </w:pPr>
      <w:r>
        <w:rPr>
          <w:rFonts w:ascii="Arial" w:cs="Arial" w:eastAsia="Arial" w:hAnsi="Arial"/>
          <w:b/>
          <w:bCs/>
          <w:color w:val="152238"/>
          <w:sz w:val="22"/>
          <w:szCs w:val="22"/>
        </w:rPr>
        <w:t xml:space="preserve">Header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Field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Description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SOP Title</w:t>
            </w:r>
          </w:p>
        </w:tc>
        <w:tc>
          <w:tcPr>
            <w:tcW w:type="dxa" w:w="468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Clear, descriptive title indicating the specific procedure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SOP Number</w:t>
            </w:r>
          </w:p>
        </w:tc>
        <w:tc>
          <w:tcPr>
            <w:tcW w:type="dxa" w:w="468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Unique identifier for reference and version control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Effective Date</w:t>
            </w:r>
          </w:p>
        </w:tc>
        <w:tc>
          <w:tcPr>
            <w:tcW w:type="dxa" w:w="468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When this version becomes operational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Review Date</w:t>
            </w:r>
          </w:p>
        </w:tc>
        <w:tc>
          <w:tcPr>
            <w:tcW w:type="dxa" w:w="468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When SOP should be reviewed (typically annually)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Prepared By</w:t>
            </w:r>
          </w:p>
        </w:tc>
        <w:tc>
          <w:tcPr>
            <w:tcW w:type="dxa" w:w="468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Name and title of author(s)</w:t>
            </w:r>
          </w:p>
        </w:tc>
      </w:tr>
      <w:tr>
        <w:tc>
          <w:tcPr>
            <w:tcW w:type="dxa" w:w="468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Approved By</w:t>
            </w:r>
          </w:p>
        </w:tc>
        <w:tc>
          <w:tcPr>
            <w:tcW w:type="dxa" w:w="468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Name, title, and signature of approving authority</w:t>
            </w:r>
          </w:p>
        </w:tc>
      </w:tr>
    </w:tbl>
    <w:p>
      <w:pPr>
        <w:spacing w:before="160"/>
      </w:pPr>
    </w:p>
    <w:p>
      <w:pPr>
        <w:spacing w:before="240" w:after="80"/>
      </w:pPr>
      <w:r>
        <w:rPr>
          <w:rFonts w:ascii="Arial" w:cs="Arial" w:eastAsia="Arial" w:hAnsi="Arial"/>
          <w:b/>
          <w:bCs/>
          <w:color w:val="152238"/>
          <w:sz w:val="22"/>
          <w:szCs w:val="22"/>
        </w:rPr>
        <w:t xml:space="preserve">Purpose and Scope Section</w:t>
      </w:r>
    </w:p>
    <w:p>
      <w:pPr>
        <w:spacing w:after="100"/>
      </w:pPr>
      <w:r>
        <w:rPr>
          <w:rFonts w:ascii="Arial" w:cs="Arial" w:eastAsia="Arial" w:hAnsi="Arial"/>
          <w:color w:val="1E293B"/>
          <w:sz w:val="19"/>
          <w:szCs w:val="19"/>
        </w:rPr>
        <w:t xml:space="preserve">Purpose: Brief statement (2-3 sentences) explaining why this SOP exists and what it aims to achieve.</w:t>
      </w:r>
    </w:p>
    <w:p>
      <w:pPr>
        <w:spacing w:after="100"/>
      </w:pPr>
      <w:r>
        <w:rPr>
          <w:rFonts w:ascii="Arial" w:cs="Arial" w:eastAsia="Arial" w:hAnsi="Arial"/>
          <w:color w:val="1E293B"/>
          <w:sz w:val="19"/>
          <w:szCs w:val="19"/>
        </w:rPr>
        <w:t xml:space="preserve">Scope: Defines what is and isn't covered - which activities, which staff, which circumstances.</w:t>
      </w:r>
    </w:p>
    <w:p>
      <w:pPr>
        <w:spacing w:after="100"/>
      </w:pPr>
      <w:r>
        <w:rPr>
          <w:rFonts w:ascii="Arial" w:cs="Arial" w:eastAsia="Arial" w:hAnsi="Arial"/>
          <w:color w:val="1E293B"/>
          <w:sz w:val="19"/>
          <w:szCs w:val="19"/>
        </w:rPr>
        <w:t xml:space="preserve">Applicability: Specifies who is responsible for implementing (roles, not individual names).</w:t>
      </w:r>
    </w:p>
    <w:p>
      <w:r>
        <w:br w:type="pag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22"/>
                <w:szCs w:val="22"/>
              </w:rPr>
              <w:t xml:space="preserve">SOP 1: DATA COLLECTION</w:t>
            </w:r>
          </w:p>
        </w:tc>
      </w:tr>
    </w:tbl>
    <w:p>
      <w:pPr>
        <w:spacing w:before="180"/>
      </w:pPr>
    </w:p>
    <w:p>
      <w:pPr>
        <w:spacing w:before="160" w:after="80"/>
      </w:pPr>
      <w:r>
        <w:rPr>
          <w:rFonts w:ascii="Arial" w:cs="Arial" w:eastAsia="Arial" w:hAnsi="Arial"/>
          <w:b/>
          <w:bCs/>
          <w:color w:val="1E3A5F"/>
          <w:sz w:val="19"/>
          <w:szCs w:val="19"/>
        </w:rPr>
        <w:t xml:space="preserve">Purpose</w:t>
      </w:r>
    </w:p>
    <w:p>
      <w:pPr>
        <w:spacing w:after="100"/>
      </w:pPr>
      <w:r>
        <w:rPr>
          <w:rFonts w:ascii="Arial" w:cs="Arial" w:eastAsia="Arial" w:hAnsi="Arial"/>
          <w:color w:val="1E293B"/>
          <w:sz w:val="19"/>
          <w:szCs w:val="19"/>
        </w:rPr>
        <w:t xml:space="preserve">To ensure consistent, high-quality data collection across all program sites through standardized procedures.</w:t>
      </w:r>
    </w:p>
    <w:p>
      <w:pPr>
        <w:spacing w:before="120"/>
      </w:pPr>
    </w:p>
    <w:p>
      <w:pPr>
        <w:spacing w:before="160" w:after="80"/>
      </w:pPr>
      <w:r>
        <w:rPr>
          <w:rFonts w:ascii="Arial" w:cs="Arial" w:eastAsia="Arial" w:hAnsi="Arial"/>
          <w:b/>
          <w:bCs/>
          <w:color w:val="1E3A5F"/>
          <w:sz w:val="19"/>
          <w:szCs w:val="19"/>
        </w:rPr>
        <w:t xml:space="preserve">Scope</w:t>
      </w:r>
    </w:p>
    <w:p>
      <w:pPr>
        <w:spacing w:after="100"/>
      </w:pPr>
      <w:r>
        <w:rPr>
          <w:rFonts w:ascii="Arial" w:cs="Arial" w:eastAsia="Arial" w:hAnsi="Arial"/>
          <w:color w:val="1E293B"/>
          <w:sz w:val="19"/>
          <w:szCs w:val="19"/>
        </w:rPr>
        <w:t xml:space="preserve">This SOP applies to all household surveys, beneficiary assessments, and monitoring visits conducted by program staff and partners.</w:t>
      </w:r>
    </w:p>
    <w:p>
      <w:pPr>
        <w:spacing w:before="120"/>
      </w:pPr>
    </w:p>
    <w:p>
      <w:pPr>
        <w:spacing w:before="160" w:after="80"/>
      </w:pPr>
      <w:r>
        <w:rPr>
          <w:rFonts w:ascii="Arial" w:cs="Arial" w:eastAsia="Arial" w:hAnsi="Arial"/>
          <w:b/>
          <w:bCs/>
          <w:color w:val="1E3A5F"/>
          <w:sz w:val="19"/>
          <w:szCs w:val="19"/>
        </w:rPr>
        <w:t xml:space="preserve">Procedures</w:t>
      </w:r>
    </w:p>
    <w:p>
      <w:pPr>
        <w:spacing w:before="160" w:after="80"/>
      </w:pPr>
      <w:r>
        <w:rPr>
          <w:rFonts w:ascii="Arial" w:cs="Arial" w:eastAsia="Arial" w:hAnsi="Arial"/>
          <w:b/>
          <w:bCs/>
          <w:color w:val="1E293B"/>
          <w:sz w:val="17"/>
          <w:szCs w:val="17"/>
        </w:rPr>
        <w:t xml:space="preserve">Pre-Collection Preparation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Review data collection schedule and confirm appointments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Ensure all tools and materials are ready (tablets charged, forms printed)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Review indicator definitions and question guidance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Check transport and logistics arrangements</w:t>
      </w:r>
    </w:p>
    <w:p>
      <w:pPr>
        <w:spacing w:before="100"/>
      </w:pPr>
    </w:p>
    <w:p>
      <w:pPr>
        <w:spacing w:before="160" w:after="80"/>
      </w:pPr>
      <w:r>
        <w:rPr>
          <w:rFonts w:ascii="Arial" w:cs="Arial" w:eastAsia="Arial" w:hAnsi="Arial"/>
          <w:b/>
          <w:bCs/>
          <w:color w:val="1E293B"/>
          <w:sz w:val="17"/>
          <w:szCs w:val="17"/>
        </w:rPr>
        <w:t xml:space="preserve">During Data Collection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Obtain informed consent before any data collection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Follow questionnaire skip patterns exactly as designed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Record responses accurately without interpretation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Complete all required fields before moving to next respondent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Note any challenges or unusual circumstances</w:t>
      </w:r>
    </w:p>
    <w:p>
      <w:pPr>
        <w:spacing w:before="100"/>
      </w:pPr>
    </w:p>
    <w:p>
      <w:pPr>
        <w:spacing w:before="160" w:after="80"/>
      </w:pPr>
      <w:r>
        <w:rPr>
          <w:rFonts w:ascii="Arial" w:cs="Arial" w:eastAsia="Arial" w:hAnsi="Arial"/>
          <w:b/>
          <w:bCs/>
          <w:color w:val="1E293B"/>
          <w:sz w:val="17"/>
          <w:szCs w:val="17"/>
        </w:rPr>
        <w:t xml:space="preserve">Post-Collection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Review completed forms for completeness and accuracy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Upload/submit data within 24 hours of collection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Securely store any paper forms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Report any data quality issues to supervisor</w:t>
      </w:r>
    </w:p>
    <w:p>
      <w:r>
        <w:br w:type="pag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22"/>
                <w:szCs w:val="22"/>
              </w:rPr>
              <w:t xml:space="preserve">SOP 2: DATA QUALITY VERIFICATION</w:t>
            </w:r>
          </w:p>
        </w:tc>
      </w:tr>
    </w:tbl>
    <w:p>
      <w:pPr>
        <w:spacing w:before="180"/>
      </w:pPr>
    </w:p>
    <w:p>
      <w:pPr>
        <w:spacing w:before="160" w:after="80"/>
      </w:pPr>
      <w:r>
        <w:rPr>
          <w:rFonts w:ascii="Arial" w:cs="Arial" w:eastAsia="Arial" w:hAnsi="Arial"/>
          <w:b/>
          <w:bCs/>
          <w:color w:val="1E3A5F"/>
          <w:sz w:val="19"/>
          <w:szCs w:val="19"/>
        </w:rPr>
        <w:t xml:space="preserve">Purpose</w:t>
      </w:r>
    </w:p>
    <w:p>
      <w:pPr>
        <w:spacing w:after="100"/>
      </w:pPr>
      <w:r>
        <w:rPr>
          <w:rFonts w:ascii="Arial" w:cs="Arial" w:eastAsia="Arial" w:hAnsi="Arial"/>
          <w:color w:val="1E293B"/>
          <w:sz w:val="19"/>
          <w:szCs w:val="19"/>
        </w:rPr>
        <w:t xml:space="preserve">To ensure data accuracy, completeness, and reliability through systematic verification procedures.</w:t>
      </w:r>
    </w:p>
    <w:p>
      <w:pPr>
        <w:spacing w:before="120"/>
      </w:pPr>
    </w:p>
    <w:p>
      <w:pPr>
        <w:spacing w:before="160" w:after="80"/>
      </w:pPr>
      <w:r>
        <w:rPr>
          <w:rFonts w:ascii="Arial" w:cs="Arial" w:eastAsia="Arial" w:hAnsi="Arial"/>
          <w:b/>
          <w:bCs/>
          <w:color w:val="1E3A5F"/>
          <w:sz w:val="19"/>
          <w:szCs w:val="19"/>
        </w:rPr>
        <w:t xml:space="preserve">Verification Steps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Step 1: Completeness Check - Verify all required fields are populated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Step 2: Range Check - Confirm values fall within expected ranges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Step 3: Logic Check - Verify skip patterns and conditional logic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Step 4: Spot Check - Re-verify 10% of records against source documents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Step 5: Back-Check - Re-contact 5% of respondents to verify responses</w:t>
      </w:r>
    </w:p>
    <w:p>
      <w:pPr>
        <w:spacing w:before="120"/>
      </w:pPr>
    </w:p>
    <w:p>
      <w:pPr>
        <w:spacing w:before="160" w:after="80"/>
      </w:pPr>
      <w:r>
        <w:rPr>
          <w:rFonts w:ascii="Arial" w:cs="Arial" w:eastAsia="Arial" w:hAnsi="Arial"/>
          <w:b/>
          <w:bCs/>
          <w:color w:val="1E3A5F"/>
          <w:sz w:val="19"/>
          <w:szCs w:val="19"/>
        </w:rPr>
        <w:t xml:space="preserve">Frequency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Check Type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Frequency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Responsible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Completeness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Daily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Data Entry Clerk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Range/Logic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Weekly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M&amp;E Officer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Spot Check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Monthly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M&amp;E Manager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Back-Check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Quarterly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M&amp;E Manager</w:t>
            </w:r>
          </w:p>
        </w:tc>
      </w:tr>
    </w:tbl>
    <w:p>
      <w:r>
        <w:br w:type="pag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22"/>
                <w:szCs w:val="22"/>
              </w:rPr>
              <w:t xml:space="preserve">SOP 3: REPORTING</w:t>
            </w:r>
          </w:p>
        </w:tc>
      </w:tr>
    </w:tbl>
    <w:p>
      <w:pPr>
        <w:spacing w:before="180"/>
      </w:pPr>
    </w:p>
    <w:p>
      <w:pPr>
        <w:spacing w:before="160" w:after="80"/>
      </w:pPr>
      <w:r>
        <w:rPr>
          <w:rFonts w:ascii="Arial" w:cs="Arial" w:eastAsia="Arial" w:hAnsi="Arial"/>
          <w:b/>
          <w:bCs/>
          <w:color w:val="1E3A5F"/>
          <w:sz w:val="19"/>
          <w:szCs w:val="19"/>
        </w:rPr>
        <w:t xml:space="preserve">Purpose</w:t>
      </w:r>
    </w:p>
    <w:p>
      <w:pPr>
        <w:spacing w:after="100"/>
      </w:pPr>
      <w:r>
        <w:rPr>
          <w:rFonts w:ascii="Arial" w:cs="Arial" w:eastAsia="Arial" w:hAnsi="Arial"/>
          <w:color w:val="1E293B"/>
          <w:sz w:val="19"/>
          <w:szCs w:val="19"/>
        </w:rPr>
        <w:t xml:space="preserve">To ensure timely, accurate, and complete reporting to donors, management, and stakeholders.</w:t>
      </w:r>
    </w:p>
    <w:p>
      <w:pPr>
        <w:spacing w:before="120"/>
      </w:pPr>
    </w:p>
    <w:p>
      <w:pPr>
        <w:spacing w:before="160" w:after="80"/>
      </w:pPr>
      <w:r>
        <w:rPr>
          <w:rFonts w:ascii="Arial" w:cs="Arial" w:eastAsia="Arial" w:hAnsi="Arial"/>
          <w:b/>
          <w:bCs/>
          <w:color w:val="1E3A5F"/>
          <w:sz w:val="19"/>
          <w:szCs w:val="19"/>
        </w:rPr>
        <w:t xml:space="preserve">Reporting Schedule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dxa" w:w="234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Report Type</w:t>
            </w:r>
          </w:p>
        </w:tc>
        <w:tc>
          <w:tcPr>
            <w:tcW w:type="dxa" w:w="234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Frequency</w:t>
            </w:r>
          </w:p>
        </w:tc>
        <w:tc>
          <w:tcPr>
            <w:tcW w:type="dxa" w:w="234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Due Date</w:t>
            </w:r>
          </w:p>
        </w:tc>
        <w:tc>
          <w:tcPr>
            <w:tcW w:type="dxa" w:w="2340"/>
            <w:tcBorders>
              <w:top w:val="none"/>
              <w:left w:val="none"/>
              <w:bottom w:val="none"/>
              <w:right w:val="none"/>
            </w:tcBorders>
            <w:shd w:fill="152238" w:val="clear"/>
            <w:tcMar>
              <w:top w:type="dxa" w:w="70"/>
              <w:left w:type="dxa" w:w="90"/>
              <w:bottom w:type="dxa" w:w="70"/>
              <w:right w:type="dxa" w:w="9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Responsible</w:t>
            </w:r>
          </w:p>
        </w:tc>
      </w:tr>
      <w:tr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Activity Log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Weekly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Monday 9am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Field Staff</w:t>
            </w:r>
          </w:p>
        </w:tc>
      </w:tr>
      <w:tr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Progress Report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Monthly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5th of month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M&amp;E Officer</w:t>
            </w:r>
          </w:p>
        </w:tc>
      </w:tr>
      <w:tr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Donor Report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Quarterly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Per contract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M&amp;E Manager</w:t>
            </w:r>
          </w:p>
        </w:tc>
      </w:tr>
      <w:tr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Annual Report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Annually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January 31</w:t>
            </w:r>
          </w:p>
        </w:tc>
        <w:tc>
          <w:tcPr>
            <w:tcW w:type="dxa" w:w="2340"/>
            <w:tcBorders>
              <w:top w:val="none"/>
              <w:left w:val="none"/>
              <w:bottom w:val="single" w:color="E8EEF4" w:sz="1"/>
              <w:right w:val="none"/>
            </w:tcBorders>
            <w:shd w:fill="F1F5F9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rFonts w:ascii="Arial" w:cs="Arial" w:eastAsia="Arial" w:hAnsi="Arial"/>
                <w:color w:val="1E293B"/>
                <w:sz w:val="15"/>
                <w:szCs w:val="15"/>
              </w:rPr>
              <w:t xml:space="preserve">Program Manager</w:t>
            </w:r>
          </w:p>
        </w:tc>
      </w:tr>
    </w:tbl>
    <w:p>
      <w:pPr>
        <w:spacing w:before="120"/>
      </w:pPr>
    </w:p>
    <w:p>
      <w:pPr>
        <w:spacing w:before="160" w:after="80"/>
      </w:pPr>
      <w:r>
        <w:rPr>
          <w:rFonts w:ascii="Arial" w:cs="Arial" w:eastAsia="Arial" w:hAnsi="Arial"/>
          <w:b/>
          <w:bCs/>
          <w:color w:val="1E3A5F"/>
          <w:sz w:val="19"/>
          <w:szCs w:val="19"/>
        </w:rPr>
        <w:t xml:space="preserve">Report Review Process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Draft prepared by responsible party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Data verification by M&amp;E Officer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Review by Program Manager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Final approval by Country Director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8B5A2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E293B"/>
          <w:sz w:val="18"/>
          <w:szCs w:val="18"/>
        </w:rPr>
        <w:t xml:space="preserve">Submission to donor/stakeholder</w:t>
      </w:r>
    </w:p>
    <w:p>
      <w:pPr>
        <w:spacing w:before="200"/>
      </w:pPr>
    </w:p>
    <w:p>
      <w:pPr>
        <w:spacing w:after="100"/>
      </w:pPr>
      <w:r>
        <w:rPr>
          <w:rFonts w:ascii="Arial" w:cs="Arial" w:eastAsia="Arial" w:hAnsi="Arial"/>
          <w:color w:val="1E293B"/>
          <w:sz w:val="19"/>
          <w:szCs w:val="19"/>
        </w:rPr>
        <w:t xml:space="preserve">Template 2.22 | M&amp;E SOP Guide | Version 1.0</w:t>
      </w:r>
    </w:p>
    <w:sectPr>
      <w:headerReference w:type="default" r:id="rId6"/>
      <w:footerReference w:type="default" r:id="rId7"/>
      <w:pgSz w:w="12240" w:h="15840" w:orient="portrait"/>
      <w:pgMar w:top="1008" w:right="1008" w:bottom="1008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4748B"/>
        <w:sz w:val="11"/>
        <w:szCs w:val="11"/>
      </w:rPr>
      <w:t xml:space="preserve">Page </w:t>
    </w:r>
    <w:r>
      <w:rPr>
        <w:rFonts w:ascii="Arial" w:cs="Arial" w:eastAsia="Arial" w:hAnsi="Arial"/>
        <w:b/>
        <w:bCs/>
        <w:color w:val="152238"/>
        <w:sz w:val="11"/>
        <w:szCs w:val="11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8B5A2B" w:sz="3"/>
      </w:pBdr>
    </w:pPr>
    <w:r>
      <w:rPr>
        <w:rFonts w:ascii="Arial" w:cs="Arial" w:eastAsia="Arial" w:hAnsi="Arial"/>
        <w:b/>
        <w:bCs/>
        <w:color w:val="152238"/>
        <w:sz w:val="13"/>
        <w:szCs w:val="13"/>
      </w:rPr>
      <w:t xml:space="preserve">T-2.22</w:t>
    </w:r>
    <w:r>
      <w:rPr>
        <w:rFonts w:ascii="Arial" w:cs="Arial" w:eastAsia="Arial" w:hAnsi="Arial"/>
        <w:color w:val="E8EEF4"/>
        <w:sz w:val="13"/>
        <w:szCs w:val="13"/>
      </w:rPr>
      <w:t xml:space="preserve">  |  </w:t>
    </w:r>
    <w:r>
      <w:rPr>
        <w:rFonts w:ascii="Arial" w:cs="Arial" w:eastAsia="Arial" w:hAnsi="Arial"/>
        <w:color w:val="64748B"/>
        <w:sz w:val="13"/>
        <w:szCs w:val="13"/>
      </w:rPr>
      <w:t xml:space="preserve">M&amp;E Standard Operating Procedures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E293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2026-01-22T14:14:07.559Z</dcterms:created>
  <dcterms:modified xsi:type="dcterms:W3CDTF">2026-01-22T14:14:07.559Z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